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60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10.55pt;height:31.45pt;mso-position-horizontal-relative:char;mso-position-vertical-relative:line" coordorigin="0,0" coordsize="2211,629">
            <v:shape style="position:absolute;left:13;top:259;width:1435;height:195" coordorigin="13,259" coordsize="1435,195" path="m69,259l13,259,13,454,56,454,56,323,99,323,69,259xm99,323l56,323,119,454,162,364,119,364,99,323xm225,323l181,323,181,454,225,454,225,323xm225,259l170,259,119,364,162,364,181,323,225,323,225,259xm451,259l317,259,317,454,450,454,450,416,364,416,364,373,432,373,432,337,364,337,364,296,443,296,451,259xm604,259l529,259,529,454,575,454,575,377,637,377,634,371,651,364,663,352,667,345,575,345,575,295,669,295,669,294,656,275,635,263,604,259xm637,377l588,377,631,454,682,454,637,377xm669,295l615,295,625,303,625,336,615,345,667,345,671,337,673,318,669,295xm828,259l753,259,753,454,800,454,800,377,862,377,858,371,875,364,887,352,891,345,800,345,800,295,893,295,893,294,880,275,859,263,828,259xm862,377l812,377,855,454,907,454,862,377xm893,295l839,295,850,303,850,336,839,345,891,345,895,337,897,318,893,295xm1025,259l978,259,978,454,1025,454,1025,259xm1165,259l1117,259,1117,454,1249,454,1249,415,1165,415,1165,259xm1364,259l1317,259,1317,454,1448,454,1448,415,1364,415,1364,259xe" filled="true" fillcolor="#002068" stroked="false">
              <v:path arrowok="t"/>
              <v:fill type="solid"/>
            </v:shape>
            <v:shape style="position:absolute;left:0;top:0;width:2211;height:629" type="#_x0000_t75" stroked="false">
              <v:imagedata r:id="rId5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spacing w:before="55"/>
        <w:ind w:left="722" w:right="442" w:firstLine="0"/>
        <w:jc w:val="left"/>
        <w:rPr>
          <w:rFonts w:ascii="Calibri" w:hAnsi="Calibri"/>
          <w:sz w:val="22"/>
        </w:rPr>
      </w:pPr>
      <w:r>
        <w:rPr/>
        <w:pict>
          <v:group style="position:absolute;margin-left:0pt;margin-top:-77.776390pt;width:612pt;height:77.5pt;mso-position-horizontal-relative:page;mso-position-vertical-relative:paragraph;z-index:15729664" coordorigin="0,-1556" coordsize="12240,1550">
            <v:shape style="position:absolute;left:0;top:-1556;width:12240;height:1550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1556;width:12240;height:1550" type="#_x0000_t202" filled="false" stroked="false">
              <v:textbox inset="0,0,0,0">
                <w:txbxContent>
                  <w:p>
                    <w:pPr>
                      <w:spacing w:before="160"/>
                      <w:ind w:left="72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sz w:val="22"/>
                      </w:rPr>
                      <w:t>YIELDS</w:t>
                    </w:r>
                    <w:r>
                      <w:rPr>
                        <w:color w:val="FFFFFF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AT</w:t>
                    </w:r>
                    <w:r>
                      <w:rPr>
                        <w:color w:val="FFFFFF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A</w:t>
                    </w:r>
                    <w:r>
                      <w:rPr>
                        <w:color w:val="FFFFFF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GLANCE</w:t>
                    </w:r>
                  </w:p>
                  <w:p>
                    <w:pPr>
                      <w:spacing w:before="5"/>
                      <w:ind w:left="722" w:right="0" w:firstLine="0"/>
                      <w:jc w:val="left"/>
                      <w:rPr>
                        <w:rFonts w:ascii="Calibri"/>
                        <w:sz w:val="48"/>
                      </w:rPr>
                    </w:pPr>
                    <w:r>
                      <w:rPr>
                        <w:rFonts w:ascii="Calibri"/>
                        <w:color w:val="FFFFFF"/>
                        <w:sz w:val="48"/>
                      </w:rPr>
                      <w:t>Cash</w:t>
                    </w:r>
                    <w:r>
                      <w:rPr>
                        <w:rFonts w:ascii="Calibri"/>
                        <w:color w:val="FFFFFF"/>
                        <w:spacing w:val="-9"/>
                        <w:sz w:val="4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48"/>
                      </w:rPr>
                      <w:t>Management</w:t>
                    </w:r>
                    <w:r>
                      <w:rPr>
                        <w:rFonts w:ascii="Calibri"/>
                        <w:color w:val="FFFFFF"/>
                        <w:spacing w:val="-8"/>
                        <w:sz w:val="4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48"/>
                      </w:rPr>
                      <w:t>Solutions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Cash Management Solutions" w:id="1"/>
      <w:bookmarkEnd w:id="1"/>
      <w:r>
        <w:rPr/>
      </w:r>
      <w:r>
        <w:rPr>
          <w:rFonts w:ascii="Calibri" w:hAnsi="Calibri"/>
          <w:sz w:val="22"/>
        </w:rPr>
        <w:t>Merrill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offers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access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variety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money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market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mutual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funds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(money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market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funds)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bank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deposit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solutions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designed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to provide liquidity, relative safety, and yields for your cash holdings. Your Merrill advisor can provide guidance and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additional information on solutions that may be appropriate for you and/or your business based on your needs, goals, risk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tolerance, investment time frame and liquidity requirements. For questions regarding a Merrill Advisory Center Account,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please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call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888.654.6837.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For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questions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regarding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Merrill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Edge®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Self-Directed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account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please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call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877.653.4732.</w:t>
      </w:r>
    </w:p>
    <w:p>
      <w:pPr>
        <w:pStyle w:val="Title"/>
        <w:spacing w:before="123"/>
      </w:pPr>
      <w:r>
        <w:rPr/>
        <w:t>Please</w:t>
      </w:r>
      <w:r>
        <w:rPr>
          <w:spacing w:val="-6"/>
        </w:rPr>
        <w:t> </w:t>
      </w:r>
      <w:r>
        <w:rPr/>
        <w:t>note:</w:t>
      </w:r>
      <w:r>
        <w:rPr>
          <w:spacing w:val="-5"/>
        </w:rPr>
        <w:t> </w:t>
      </w:r>
      <w:r>
        <w:rPr/>
        <w:t>Availability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account</w:t>
      </w:r>
      <w:r>
        <w:rPr>
          <w:spacing w:val="-5"/>
        </w:rPr>
        <w:t> </w:t>
      </w:r>
      <w:r>
        <w:rPr/>
        <w:t>type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depend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eligibility</w:t>
      </w:r>
      <w:r>
        <w:rPr>
          <w:spacing w:val="-5"/>
        </w:rPr>
        <w:t> </w:t>
      </w:r>
      <w:r>
        <w:rPr/>
        <w:t>criteria.</w:t>
      </w:r>
    </w:p>
    <w:p>
      <w:pPr>
        <w:pStyle w:val="Title"/>
        <w:tabs>
          <w:tab w:pos="11249" w:val="left" w:leader="none"/>
        </w:tabs>
        <w:spacing w:after="7"/>
      </w:pPr>
      <w:r>
        <w:rPr/>
        <w:t>For</w:t>
      </w:r>
      <w:r>
        <w:rPr>
          <w:spacing w:val="-6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information,</w:t>
      </w:r>
      <w:r>
        <w:rPr>
          <w:spacing w:val="-5"/>
        </w:rPr>
        <w:t> </w:t>
      </w:r>
      <w:r>
        <w:rPr/>
        <w:t>see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hyperlink r:id="rId7">
        <w:r>
          <w:rPr>
            <w:color w:val="0000FF"/>
            <w:u w:val="single" w:color="0000FF"/>
          </w:rPr>
          <w:t>Sweep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Program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Guide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Merrill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clie</w:t>
        </w:r>
        <w:r>
          <w:rPr>
            <w:color w:val="0000FF"/>
            <w:u w:val="single" w:color="000000"/>
          </w:rPr>
          <w:t>nt</w:t>
        </w:r>
      </w:hyperlink>
      <w:r>
        <w:rPr>
          <w:color w:val="0000FF"/>
        </w:rPr>
        <w:t>s</w:t>
      </w:r>
      <w:r>
        <w:rPr>
          <w:color w:val="0000FF"/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page</w:t>
      </w:r>
      <w:r>
        <w:rPr>
          <w:spacing w:val="-5"/>
        </w:rPr>
        <w:t> </w:t>
      </w:r>
      <w:r>
        <w:rPr/>
        <w:t>4.</w:t>
        <w:tab/>
      </w:r>
    </w:p>
    <w:tbl>
      <w:tblPr>
        <w:tblW w:w="0" w:type="auto"/>
        <w:jc w:val="left"/>
        <w:tblInd w:w="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0"/>
        <w:gridCol w:w="3917"/>
      </w:tblGrid>
      <w:tr>
        <w:trPr>
          <w:trHeight w:val="276" w:hRule="atLeast"/>
        </w:trPr>
        <w:tc>
          <w:tcPr>
            <w:tcW w:w="66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1"/>
              <w:ind w:left="175"/>
              <w:rPr>
                <w:sz w:val="18"/>
              </w:rPr>
            </w:pPr>
            <w:r>
              <w:rPr>
                <w:color w:val="010102"/>
                <w:sz w:val="18"/>
              </w:rPr>
              <w:t>As</w:t>
            </w:r>
            <w:r>
              <w:rPr>
                <w:color w:val="010102"/>
                <w:spacing w:val="-4"/>
                <w:sz w:val="18"/>
              </w:rPr>
              <w:t> </w:t>
            </w:r>
            <w:r>
              <w:rPr>
                <w:color w:val="010102"/>
                <w:sz w:val="18"/>
              </w:rPr>
              <w:t>of</w:t>
            </w:r>
            <w:r>
              <w:rPr>
                <w:color w:val="010102"/>
                <w:spacing w:val="36"/>
                <w:sz w:val="18"/>
              </w:rPr>
              <w:t> </w:t>
            </w:r>
            <w:r>
              <w:rPr>
                <w:color w:val="010102"/>
                <w:sz w:val="18"/>
              </w:rPr>
              <w:t>10/30/2024</w:t>
            </w:r>
          </w:p>
        </w:tc>
      </w:tr>
      <w:tr>
        <w:trPr>
          <w:trHeight w:val="275" w:hRule="atLeast"/>
        </w:trPr>
        <w:tc>
          <w:tcPr>
            <w:tcW w:w="6600" w:type="dxa"/>
            <w:tcBorders>
              <w:bottom w:val="single" w:sz="4" w:space="0" w:color="000000"/>
            </w:tcBorders>
            <w:shd w:val="clear" w:color="auto" w:fill="191F55"/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color w:val="FFFFFF"/>
                <w:sz w:val="18"/>
              </w:rPr>
              <w:t>Bank</w:t>
            </w:r>
            <w:r>
              <w:rPr>
                <w:color w:val="FFFFFF"/>
                <w:spacing w:val="-6"/>
                <w:sz w:val="18"/>
              </w:rPr>
              <w:t> </w:t>
            </w:r>
            <w:r>
              <w:rPr>
                <w:color w:val="FFFFFF"/>
                <w:sz w:val="18"/>
              </w:rPr>
              <w:t>Deposits</w:t>
            </w:r>
            <w:r>
              <w:rPr>
                <w:color w:val="FFFFFF"/>
                <w:spacing w:val="-6"/>
                <w:sz w:val="18"/>
              </w:rPr>
              <w:t> </w:t>
            </w:r>
            <w:r>
              <w:rPr>
                <w:color w:val="FFFFFF"/>
                <w:sz w:val="18"/>
              </w:rPr>
              <w:t>available</w:t>
            </w:r>
            <w:r>
              <w:rPr>
                <w:color w:val="FFFFFF"/>
                <w:spacing w:val="-5"/>
                <w:sz w:val="18"/>
              </w:rPr>
              <w:t> </w:t>
            </w:r>
            <w:r>
              <w:rPr>
                <w:color w:val="FFFFFF"/>
                <w:sz w:val="18"/>
              </w:rPr>
              <w:t>through</w:t>
            </w:r>
            <w:r>
              <w:rPr>
                <w:color w:val="FFFFFF"/>
                <w:spacing w:val="-6"/>
                <w:sz w:val="18"/>
              </w:rPr>
              <w:t> </w:t>
            </w:r>
            <w:r>
              <w:rPr>
                <w:color w:val="FFFFFF"/>
                <w:sz w:val="18"/>
              </w:rPr>
              <w:t>Merrill</w:t>
            </w:r>
            <w:r>
              <w:rPr>
                <w:color w:val="FFFFFF"/>
                <w:spacing w:val="-6"/>
                <w:sz w:val="18"/>
              </w:rPr>
              <w:t> </w:t>
            </w:r>
            <w:r>
              <w:rPr>
                <w:color w:val="FFFFFF"/>
                <w:sz w:val="18"/>
              </w:rPr>
              <w:t>Accounts</w:t>
            </w:r>
          </w:p>
        </w:tc>
        <w:tc>
          <w:tcPr>
            <w:tcW w:w="3917" w:type="dxa"/>
            <w:tcBorders>
              <w:bottom w:val="single" w:sz="4" w:space="0" w:color="000000"/>
            </w:tcBorders>
            <w:shd w:val="clear" w:color="auto" w:fill="181F54"/>
          </w:tcPr>
          <w:p>
            <w:pPr>
              <w:pStyle w:val="TableParagraph"/>
              <w:spacing w:before="32"/>
              <w:ind w:left="8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Annual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Percentage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Yield</w:t>
            </w:r>
          </w:p>
        </w:tc>
      </w:tr>
      <w:tr>
        <w:trPr>
          <w:trHeight w:val="286" w:hRule="atLeast"/>
        </w:trPr>
        <w:tc>
          <w:tcPr>
            <w:tcW w:w="6600" w:type="dxa"/>
            <w:tcBorders>
              <w:top w:val="single" w:sz="4" w:space="0" w:color="000000"/>
              <w:right w:val="single" w:sz="4" w:space="0" w:color="CAC1B9"/>
            </w:tcBorders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Merrill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Lynch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Bank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Deposit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(&lt;$250,000)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CAC1B9"/>
            </w:tcBorders>
          </w:tcPr>
          <w:p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0.01%</w:t>
            </w:r>
          </w:p>
        </w:tc>
      </w:tr>
      <w:tr>
        <w:trPr>
          <w:trHeight w:val="275" w:hRule="atLeast"/>
        </w:trPr>
        <w:tc>
          <w:tcPr>
            <w:tcW w:w="6600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Merrill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Lynch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Bank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Deposit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($250,000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&lt;$1M)</w:t>
            </w:r>
          </w:p>
        </w:tc>
        <w:tc>
          <w:tcPr>
            <w:tcW w:w="3917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2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0.01%</w:t>
            </w:r>
          </w:p>
        </w:tc>
      </w:tr>
      <w:tr>
        <w:trPr>
          <w:trHeight w:val="286" w:hRule="atLeast"/>
        </w:trPr>
        <w:tc>
          <w:tcPr>
            <w:tcW w:w="6600" w:type="dxa"/>
            <w:tcBorders>
              <w:right w:val="single" w:sz="4" w:space="0" w:color="CAC1B9"/>
            </w:tcBorders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Merrill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Lynch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Bank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Deposit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($1M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&lt;$10M)</w:t>
            </w:r>
          </w:p>
        </w:tc>
        <w:tc>
          <w:tcPr>
            <w:tcW w:w="3917" w:type="dxa"/>
            <w:tcBorders>
              <w:left w:val="single" w:sz="4" w:space="0" w:color="CAC1B9"/>
            </w:tcBorders>
          </w:tcPr>
          <w:p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0.05%</w:t>
            </w:r>
          </w:p>
        </w:tc>
      </w:tr>
      <w:tr>
        <w:trPr>
          <w:trHeight w:val="281" w:hRule="atLeast"/>
        </w:trPr>
        <w:tc>
          <w:tcPr>
            <w:tcW w:w="6600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sz w:val="18"/>
              </w:rPr>
              <w:t>Merrill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Lynch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Bank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Deposit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(&gt;=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$10M)</w:t>
            </w:r>
          </w:p>
        </w:tc>
        <w:tc>
          <w:tcPr>
            <w:tcW w:w="3917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7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0.15%</w:t>
            </w:r>
          </w:p>
        </w:tc>
      </w:tr>
      <w:tr>
        <w:trPr>
          <w:trHeight w:val="298" w:hRule="atLeast"/>
        </w:trPr>
        <w:tc>
          <w:tcPr>
            <w:tcW w:w="6600" w:type="dxa"/>
            <w:tcBorders>
              <w:right w:val="single" w:sz="4" w:space="0" w:color="CAC1B9"/>
            </w:tcBorders>
          </w:tcPr>
          <w:p>
            <w:pPr>
              <w:pStyle w:val="TableParagraph"/>
              <w:spacing w:before="31"/>
              <w:rPr>
                <w:sz w:val="18"/>
              </w:rPr>
            </w:pPr>
            <w:r>
              <w:rPr>
                <w:w w:val="95"/>
                <w:sz w:val="18"/>
              </w:rPr>
              <w:t>Merrill</w:t>
            </w:r>
            <w:r>
              <w:rPr>
                <w:spacing w:val="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Lynch</w:t>
            </w:r>
            <w:r>
              <w:rPr>
                <w:spacing w:val="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Bank</w:t>
            </w:r>
            <w:r>
              <w:rPr>
                <w:spacing w:val="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Deposit</w:t>
            </w:r>
            <w:r>
              <w:rPr>
                <w:spacing w:val="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Program</w:t>
            </w:r>
            <w:r>
              <w:rPr>
                <w:spacing w:val="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---</w:t>
            </w:r>
            <w:r>
              <w:rPr>
                <w:spacing w:val="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Tier</w:t>
            </w:r>
            <w:r>
              <w:rPr>
                <w:spacing w:val="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5</w:t>
            </w:r>
            <w:r>
              <w:rPr>
                <w:w w:val="95"/>
                <w:sz w:val="18"/>
                <w:vertAlign w:val="superscript"/>
              </w:rPr>
              <w:t>1,</w:t>
            </w:r>
            <w:r>
              <w:rPr>
                <w:spacing w:val="-9"/>
                <w:w w:val="95"/>
                <w:sz w:val="18"/>
                <w:vertAlign w:val="baseline"/>
              </w:rPr>
              <w:t> </w:t>
            </w:r>
            <w:r>
              <w:rPr>
                <w:w w:val="95"/>
                <w:sz w:val="18"/>
                <w:vertAlign w:val="superscript"/>
              </w:rPr>
              <w:t>2</w:t>
            </w:r>
          </w:p>
        </w:tc>
        <w:tc>
          <w:tcPr>
            <w:tcW w:w="3917" w:type="dxa"/>
            <w:tcBorders>
              <w:left w:val="single" w:sz="4" w:space="0" w:color="CAC1B9"/>
            </w:tcBorders>
          </w:tcPr>
          <w:p>
            <w:pPr>
              <w:pStyle w:val="TableParagraph"/>
              <w:spacing w:before="2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4.69%</w:t>
            </w:r>
          </w:p>
        </w:tc>
      </w:tr>
      <w:tr>
        <w:trPr>
          <w:trHeight w:val="281" w:hRule="atLeast"/>
        </w:trPr>
        <w:tc>
          <w:tcPr>
            <w:tcW w:w="6600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0" w:lineRule="exact" w:before="51"/>
              <w:rPr>
                <w:sz w:val="18"/>
              </w:rPr>
            </w:pPr>
            <w:r>
              <w:rPr>
                <w:color w:val="010102"/>
                <w:sz w:val="18"/>
              </w:rPr>
              <w:t>Insured</w:t>
            </w:r>
            <w:r>
              <w:rPr>
                <w:color w:val="010102"/>
                <w:spacing w:val="-6"/>
                <w:sz w:val="18"/>
              </w:rPr>
              <w:t> </w:t>
            </w:r>
            <w:r>
              <w:rPr>
                <w:color w:val="010102"/>
                <w:sz w:val="18"/>
              </w:rPr>
              <w:t>Savings</w:t>
            </w:r>
            <w:r>
              <w:rPr>
                <w:color w:val="010102"/>
                <w:spacing w:val="-5"/>
                <w:sz w:val="18"/>
              </w:rPr>
              <w:t> </w:t>
            </w:r>
            <w:r>
              <w:rPr>
                <w:color w:val="010102"/>
                <w:sz w:val="18"/>
              </w:rPr>
              <w:t>Account</w:t>
            </w:r>
            <w:r>
              <w:rPr>
                <w:color w:val="010102"/>
                <w:spacing w:val="-5"/>
                <w:sz w:val="18"/>
              </w:rPr>
              <w:t> </w:t>
            </w:r>
            <w:r>
              <w:rPr>
                <w:color w:val="010102"/>
                <w:sz w:val="18"/>
              </w:rPr>
              <w:t>(ISA®)</w:t>
            </w:r>
            <w:r>
              <w:rPr>
                <w:color w:val="010102"/>
                <w:sz w:val="18"/>
                <w:vertAlign w:val="superscript"/>
              </w:rPr>
              <w:t>4</w:t>
            </w:r>
          </w:p>
        </w:tc>
        <w:tc>
          <w:tcPr>
            <w:tcW w:w="3917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7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3.02%</w:t>
            </w:r>
          </w:p>
        </w:tc>
      </w:tr>
      <w:tr>
        <w:trPr>
          <w:trHeight w:val="294" w:hRule="atLeast"/>
        </w:trPr>
        <w:tc>
          <w:tcPr>
            <w:tcW w:w="6600" w:type="dxa"/>
            <w:tcBorders>
              <w:right w:val="single" w:sz="4" w:space="0" w:color="CAC1B9"/>
            </w:tcBorders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w w:val="95"/>
                <w:sz w:val="18"/>
              </w:rPr>
              <w:t>Preferred</w:t>
            </w:r>
            <w:r>
              <w:rPr>
                <w:spacing w:val="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Deposit®</w:t>
            </w:r>
            <w:r>
              <w:rPr>
                <w:w w:val="95"/>
                <w:sz w:val="18"/>
                <w:vertAlign w:val="superscript"/>
              </w:rPr>
              <w:t>5,</w:t>
            </w:r>
            <w:r>
              <w:rPr>
                <w:w w:val="95"/>
                <w:sz w:val="18"/>
                <w:vertAlign w:val="baseline"/>
              </w:rPr>
              <w:t> </w:t>
            </w:r>
            <w:r>
              <w:rPr>
                <w:w w:val="95"/>
                <w:sz w:val="18"/>
                <w:vertAlign w:val="superscript"/>
              </w:rPr>
              <w:t>6</w:t>
            </w:r>
          </w:p>
        </w:tc>
        <w:tc>
          <w:tcPr>
            <w:tcW w:w="3917" w:type="dxa"/>
            <w:tcBorders>
              <w:left w:val="single" w:sz="4" w:space="0" w:color="CAC1B9"/>
            </w:tcBorders>
          </w:tcPr>
          <w:p>
            <w:pPr>
              <w:pStyle w:val="TableParagraph"/>
              <w:spacing w:before="2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4.18%</w:t>
            </w:r>
          </w:p>
        </w:tc>
      </w:tr>
      <w:tr>
        <w:trPr>
          <w:trHeight w:val="275" w:hRule="atLeast"/>
        </w:trPr>
        <w:tc>
          <w:tcPr>
            <w:tcW w:w="6600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Retirement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Asset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Savings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(&lt;$250,000)</w:t>
            </w:r>
          </w:p>
        </w:tc>
        <w:tc>
          <w:tcPr>
            <w:tcW w:w="3917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2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0.01%</w:t>
            </w:r>
          </w:p>
        </w:tc>
      </w:tr>
      <w:tr>
        <w:trPr>
          <w:trHeight w:val="298" w:hRule="atLeast"/>
        </w:trPr>
        <w:tc>
          <w:tcPr>
            <w:tcW w:w="6600" w:type="dxa"/>
            <w:tcBorders>
              <w:right w:val="single" w:sz="4" w:space="0" w:color="CAC1B9"/>
            </w:tcBorders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Retirement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Asset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Savings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($250,000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&lt;$1M)</w:t>
            </w:r>
          </w:p>
        </w:tc>
        <w:tc>
          <w:tcPr>
            <w:tcW w:w="3917" w:type="dxa"/>
            <w:tcBorders>
              <w:left w:val="single" w:sz="4" w:space="0" w:color="CAC1B9"/>
            </w:tcBorders>
          </w:tcPr>
          <w:p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0.01%</w:t>
            </w:r>
          </w:p>
        </w:tc>
      </w:tr>
      <w:tr>
        <w:trPr>
          <w:trHeight w:val="281" w:hRule="atLeast"/>
        </w:trPr>
        <w:tc>
          <w:tcPr>
            <w:tcW w:w="6600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Retirement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Asset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Savings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($1M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&lt;$10M)</w:t>
            </w:r>
          </w:p>
        </w:tc>
        <w:tc>
          <w:tcPr>
            <w:tcW w:w="3917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8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0.05%</w:t>
            </w:r>
          </w:p>
        </w:tc>
      </w:tr>
      <w:tr>
        <w:trPr>
          <w:trHeight w:val="286" w:hRule="atLeast"/>
        </w:trPr>
        <w:tc>
          <w:tcPr>
            <w:tcW w:w="6600" w:type="dxa"/>
            <w:tcBorders>
              <w:right w:val="single" w:sz="4" w:space="0" w:color="CAC1B9"/>
            </w:tcBorders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Retirement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Asset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Savings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(&gt;=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$10M)</w:t>
            </w:r>
          </w:p>
        </w:tc>
        <w:tc>
          <w:tcPr>
            <w:tcW w:w="3917" w:type="dxa"/>
            <w:tcBorders>
              <w:left w:val="single" w:sz="4" w:space="0" w:color="CAC1B9"/>
            </w:tcBorders>
          </w:tcPr>
          <w:p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0.15%</w:t>
            </w:r>
          </w:p>
        </w:tc>
      </w:tr>
      <w:tr>
        <w:trPr>
          <w:trHeight w:val="275" w:hRule="atLeast"/>
        </w:trPr>
        <w:tc>
          <w:tcPr>
            <w:tcW w:w="6600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Retirement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Asset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Savings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3917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4.69%</w:t>
            </w:r>
          </w:p>
        </w:tc>
      </w:tr>
      <w:tr>
        <w:trPr>
          <w:trHeight w:val="276" w:hRule="atLeast"/>
        </w:trPr>
        <w:tc>
          <w:tcPr>
            <w:tcW w:w="6600" w:type="dxa"/>
            <w:tcBorders>
              <w:right w:val="single" w:sz="4" w:space="0" w:color="CAC1B9"/>
            </w:tcBorders>
          </w:tcPr>
          <w:p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Merrill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Lynch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Direct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Deposit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Program</w:t>
            </w:r>
          </w:p>
        </w:tc>
        <w:tc>
          <w:tcPr>
            <w:tcW w:w="3917" w:type="dxa"/>
            <w:tcBorders>
              <w:left w:val="single" w:sz="4" w:space="0" w:color="CAC1B9"/>
            </w:tcBorders>
          </w:tcPr>
          <w:p>
            <w:pPr>
              <w:pStyle w:val="TableParagraph"/>
              <w:spacing w:before="4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0.01%</w:t>
            </w:r>
          </w:p>
        </w:tc>
      </w:tr>
      <w:tr>
        <w:trPr>
          <w:trHeight w:val="281" w:hRule="atLeast"/>
        </w:trPr>
        <w:tc>
          <w:tcPr>
            <w:tcW w:w="6600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4" w:lineRule="exact" w:before="47"/>
              <w:rPr>
                <w:sz w:val="18"/>
              </w:rPr>
            </w:pPr>
            <w:r>
              <w:rPr>
                <w:sz w:val="18"/>
              </w:rPr>
              <w:t>Merrill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Lynch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Direct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Deposit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3917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4.69%</w:t>
            </w:r>
          </w:p>
        </w:tc>
      </w:tr>
      <w:tr>
        <w:trPr>
          <w:trHeight w:val="296" w:hRule="atLeast"/>
        </w:trPr>
        <w:tc>
          <w:tcPr>
            <w:tcW w:w="6600" w:type="dxa"/>
            <w:tcBorders>
              <w:bottom w:val="single" w:sz="4" w:space="0" w:color="000000"/>
              <w:right w:val="single" w:sz="4" w:space="0" w:color="CAC1B9"/>
            </w:tcBorders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1"/>
                <w:sz w:val="18"/>
              </w:rPr>
              <w:t>Preferred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Deposit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for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Business®</w:t>
            </w:r>
            <w:r>
              <w:rPr>
                <w:spacing w:val="-1"/>
                <w:sz w:val="18"/>
                <w:vertAlign w:val="superscript"/>
              </w:rPr>
              <w:t>5,</w:t>
            </w:r>
            <w:r>
              <w:rPr>
                <w:spacing w:val="-13"/>
                <w:sz w:val="18"/>
                <w:vertAlign w:val="baseline"/>
              </w:rPr>
              <w:t> </w:t>
            </w:r>
            <w:r>
              <w:rPr>
                <w:sz w:val="18"/>
                <w:vertAlign w:val="superscript"/>
              </w:rPr>
              <w:t>6</w:t>
            </w:r>
          </w:p>
        </w:tc>
        <w:tc>
          <w:tcPr>
            <w:tcW w:w="3917" w:type="dxa"/>
            <w:tcBorders>
              <w:left w:val="single" w:sz="4" w:space="0" w:color="CAC1B9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color w:val="010102"/>
                <w:sz w:val="18"/>
              </w:rPr>
              <w:t>4.18%</w:t>
            </w:r>
          </w:p>
        </w:tc>
      </w:tr>
    </w:tbl>
    <w:p>
      <w:pPr>
        <w:spacing w:line="195" w:lineRule="exact" w:before="37"/>
        <w:ind w:left="722" w:right="0" w:firstLine="0"/>
        <w:jc w:val="left"/>
        <w:rPr>
          <w:sz w:val="16"/>
        </w:rPr>
      </w:pPr>
      <w:r>
        <w:rPr>
          <w:w w:val="85"/>
          <w:sz w:val="16"/>
          <w:vertAlign w:val="superscript"/>
        </w:rPr>
        <w:t>1</w:t>
      </w:r>
      <w:r>
        <w:rPr>
          <w:w w:val="85"/>
          <w:sz w:val="16"/>
          <w:vertAlign w:val="baseline"/>
        </w:rPr>
        <w:t>Assigned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to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eligible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accounts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enrolled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the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following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investment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advisory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programs: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(1)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the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Merrill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Lynch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Investment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Advisory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Program,</w:t>
      </w:r>
    </w:p>
    <w:p>
      <w:pPr>
        <w:spacing w:line="195" w:lineRule="exact" w:before="0"/>
        <w:ind w:left="753" w:right="0" w:firstLine="0"/>
        <w:jc w:val="left"/>
        <w:rPr>
          <w:sz w:val="16"/>
        </w:rPr>
      </w:pPr>
      <w:r>
        <w:rPr>
          <w:w w:val="85"/>
          <w:sz w:val="16"/>
        </w:rPr>
        <w:t>(2)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the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Merrill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Lynch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Strategic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Portfolio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Advisor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Service;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(3)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the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Merrill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Lynch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Managed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Account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Service;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(4)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the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BlackRock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Private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Investors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Service;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(5)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the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Merrill</w:t>
      </w:r>
      <w:r>
        <w:rPr>
          <w:spacing w:val="12"/>
          <w:w w:val="85"/>
          <w:sz w:val="16"/>
        </w:rPr>
        <w:t> </w:t>
      </w:r>
      <w:r>
        <w:rPr>
          <w:w w:val="85"/>
          <w:sz w:val="16"/>
        </w:rPr>
        <w:t>Guided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Investing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Program</w:t>
      </w:r>
    </w:p>
    <w:p>
      <w:pPr>
        <w:spacing w:before="0"/>
        <w:ind w:left="753" w:right="0" w:firstLine="0"/>
        <w:jc w:val="left"/>
        <w:rPr>
          <w:sz w:val="16"/>
        </w:rPr>
      </w:pPr>
      <w:r>
        <w:rPr>
          <w:w w:val="85"/>
          <w:sz w:val="16"/>
        </w:rPr>
        <w:t>(6)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the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Merrill</w:t>
      </w:r>
      <w:r>
        <w:rPr>
          <w:spacing w:val="12"/>
          <w:w w:val="85"/>
          <w:sz w:val="16"/>
        </w:rPr>
        <w:t> </w:t>
      </w:r>
      <w:r>
        <w:rPr>
          <w:w w:val="85"/>
          <w:sz w:val="16"/>
        </w:rPr>
        <w:t>Guided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Investing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with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Advisor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Program;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and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(7)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the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Merrill</w:t>
      </w:r>
      <w:r>
        <w:rPr>
          <w:spacing w:val="12"/>
          <w:w w:val="85"/>
          <w:sz w:val="16"/>
        </w:rPr>
        <w:t> </w:t>
      </w:r>
      <w:r>
        <w:rPr>
          <w:w w:val="85"/>
          <w:sz w:val="16"/>
        </w:rPr>
        <w:t>Edge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Advisory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Account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program.</w:t>
      </w:r>
    </w:p>
    <w:p>
      <w:pPr>
        <w:spacing w:before="35"/>
        <w:ind w:left="722" w:right="0" w:firstLine="0"/>
        <w:jc w:val="left"/>
        <w:rPr>
          <w:sz w:val="16"/>
        </w:rPr>
      </w:pPr>
      <w:r>
        <w:rPr>
          <w:w w:val="85"/>
          <w:sz w:val="16"/>
          <w:vertAlign w:val="superscript"/>
        </w:rPr>
        <w:t>2</w:t>
      </w:r>
      <w:r>
        <w:rPr>
          <w:w w:val="85"/>
          <w:sz w:val="16"/>
          <w:vertAlign w:val="baseline"/>
        </w:rPr>
        <w:t>Assigned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to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certain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eligible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retirement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plan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accounts.</w:t>
      </w:r>
    </w:p>
    <w:p>
      <w:pPr>
        <w:spacing w:before="35"/>
        <w:ind w:left="722" w:right="0" w:firstLine="0"/>
        <w:jc w:val="left"/>
        <w:rPr>
          <w:sz w:val="16"/>
        </w:rPr>
      </w:pPr>
      <w:r>
        <w:rPr>
          <w:w w:val="85"/>
          <w:sz w:val="16"/>
          <w:vertAlign w:val="superscript"/>
        </w:rPr>
        <w:t>3</w:t>
      </w:r>
      <w:r>
        <w:rPr>
          <w:w w:val="85"/>
          <w:sz w:val="16"/>
          <w:vertAlign w:val="baseline"/>
        </w:rPr>
        <w:t>Assigned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to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eligible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accounts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enrolled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the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Merrill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Guided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Investing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Program.</w:t>
      </w:r>
    </w:p>
    <w:p>
      <w:pPr>
        <w:spacing w:before="34"/>
        <w:ind w:left="722" w:right="0" w:firstLine="0"/>
        <w:jc w:val="left"/>
        <w:rPr>
          <w:sz w:val="16"/>
        </w:rPr>
      </w:pPr>
      <w:r>
        <w:rPr>
          <w:w w:val="85"/>
          <w:sz w:val="16"/>
          <w:vertAlign w:val="superscript"/>
        </w:rPr>
        <w:t>4</w:t>
      </w:r>
      <w:r>
        <w:rPr>
          <w:w w:val="85"/>
          <w:sz w:val="16"/>
          <w:vertAlign w:val="baseline"/>
        </w:rPr>
        <w:t>$1,000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minimum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opening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deposit.</w:t>
      </w:r>
    </w:p>
    <w:p>
      <w:pPr>
        <w:spacing w:before="35"/>
        <w:ind w:left="722" w:right="0" w:firstLine="0"/>
        <w:jc w:val="left"/>
        <w:rPr>
          <w:sz w:val="16"/>
        </w:rPr>
      </w:pPr>
      <w:r>
        <w:rPr>
          <w:w w:val="85"/>
          <w:sz w:val="16"/>
          <w:vertAlign w:val="superscript"/>
        </w:rPr>
        <w:t>5</w:t>
      </w:r>
      <w:r>
        <w:rPr>
          <w:w w:val="85"/>
          <w:sz w:val="16"/>
          <w:vertAlign w:val="baseline"/>
        </w:rPr>
        <w:t>$100,000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minimum</w:t>
      </w:r>
      <w:r>
        <w:rPr>
          <w:spacing w:val="19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opening</w:t>
      </w:r>
      <w:r>
        <w:rPr>
          <w:spacing w:val="19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deposit.</w:t>
      </w:r>
    </w:p>
    <w:p>
      <w:pPr>
        <w:spacing w:before="35"/>
        <w:ind w:left="722" w:right="0" w:firstLine="0"/>
        <w:jc w:val="left"/>
        <w:rPr>
          <w:sz w:val="16"/>
        </w:rPr>
      </w:pPr>
      <w:r>
        <w:rPr/>
        <w:pict>
          <v:shape style="position:absolute;margin-left:27.549999pt;margin-top:18.467184pt;width:554.85pt;height:.1pt;mso-position-horizontal-relative:page;mso-position-vertical-relative:paragraph;z-index:-15728128;mso-wrap-distance-left:0;mso-wrap-distance-right:0" coordorigin="551,369" coordsize="11097,0" path="m551,369l11648,369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5"/>
          <w:sz w:val="16"/>
          <w:vertAlign w:val="superscript"/>
        </w:rPr>
        <w:t>6</w:t>
      </w:r>
      <w:r>
        <w:rPr>
          <w:w w:val="85"/>
          <w:sz w:val="16"/>
          <w:vertAlign w:val="baseline"/>
        </w:rPr>
        <w:t>This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is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non-sweep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product</w:t>
      </w:r>
      <w:r>
        <w:rPr>
          <w:spacing w:val="19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-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an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order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must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be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entered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for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all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transactions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(deposits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and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withdrawals).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Please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contact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your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representative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for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additional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information.</w:t>
      </w:r>
    </w:p>
    <w:p>
      <w:pPr>
        <w:spacing w:before="93"/>
        <w:ind w:left="616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Please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see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page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4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for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additional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important</w:t>
      </w:r>
      <w:r>
        <w:rPr>
          <w:rFonts w:ascii="Calibri"/>
          <w:b/>
          <w:spacing w:val="-5"/>
          <w:sz w:val="16"/>
        </w:rPr>
        <w:t> </w:t>
      </w:r>
      <w:r>
        <w:rPr>
          <w:rFonts w:ascii="Calibri"/>
          <w:b/>
          <w:sz w:val="16"/>
        </w:rPr>
        <w:t>information.</w:t>
      </w:r>
    </w:p>
    <w:p>
      <w:pPr>
        <w:spacing w:before="86"/>
        <w:ind w:left="607" w:right="795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Merrill Lynch, Pierce, Fenner &amp; Smith Incorporated (also referred to as “MLPF&amp;S” or “Merrill”) makes available certain investment products sponsored, managed,</w:t>
      </w:r>
      <w:r>
        <w:rPr>
          <w:rFonts w:ascii="Calibri" w:hAnsi="Calibri"/>
          <w:spacing w:val="1"/>
          <w:sz w:val="16"/>
        </w:rPr>
        <w:t> </w:t>
      </w:r>
      <w:r>
        <w:rPr>
          <w:rFonts w:ascii="Calibri" w:hAnsi="Calibri"/>
          <w:sz w:val="16"/>
        </w:rPr>
        <w:t>distributed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or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provided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by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companies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that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are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affiliates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of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Bank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of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America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Corporation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(“BofA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Corp.”).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MLPF&amp;S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is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registered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broker-dealer,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z w:val="16"/>
        </w:rPr>
        <w:t>registered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investment</w:t>
      </w:r>
      <w:r>
        <w:rPr>
          <w:rFonts w:ascii="Calibri" w:hAnsi="Calibri"/>
          <w:spacing w:val="1"/>
          <w:sz w:val="16"/>
        </w:rPr>
        <w:t> </w:t>
      </w:r>
      <w:r>
        <w:rPr>
          <w:rFonts w:ascii="Calibri" w:hAnsi="Calibri"/>
          <w:sz w:val="16"/>
        </w:rPr>
        <w:t>adviser,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Member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SIPC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and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wholly-owned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subsidiary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of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BofA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Corp.</w:t>
      </w:r>
    </w:p>
    <w:p>
      <w:pPr>
        <w:spacing w:before="56"/>
        <w:ind w:left="60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Banking</w:t>
      </w:r>
      <w:r>
        <w:rPr>
          <w:rFonts w:ascii="Calibri"/>
          <w:spacing w:val="-6"/>
          <w:sz w:val="16"/>
        </w:rPr>
        <w:t> </w:t>
      </w:r>
      <w:r>
        <w:rPr>
          <w:rFonts w:ascii="Calibri"/>
          <w:sz w:val="16"/>
        </w:rPr>
        <w:t>products</w:t>
      </w:r>
      <w:r>
        <w:rPr>
          <w:rFonts w:ascii="Calibri"/>
          <w:spacing w:val="-5"/>
          <w:sz w:val="16"/>
        </w:rPr>
        <w:t> </w:t>
      </w:r>
      <w:r>
        <w:rPr>
          <w:rFonts w:ascii="Calibri"/>
          <w:sz w:val="16"/>
        </w:rPr>
        <w:t>are</w:t>
      </w:r>
      <w:r>
        <w:rPr>
          <w:rFonts w:ascii="Calibri"/>
          <w:spacing w:val="-6"/>
          <w:sz w:val="16"/>
        </w:rPr>
        <w:t> </w:t>
      </w:r>
      <w:r>
        <w:rPr>
          <w:rFonts w:ascii="Calibri"/>
          <w:sz w:val="16"/>
        </w:rPr>
        <w:t>provided</w:t>
      </w:r>
      <w:r>
        <w:rPr>
          <w:rFonts w:ascii="Calibri"/>
          <w:spacing w:val="-5"/>
          <w:sz w:val="16"/>
        </w:rPr>
        <w:t> </w:t>
      </w:r>
      <w:r>
        <w:rPr>
          <w:rFonts w:ascii="Calibri"/>
          <w:sz w:val="16"/>
        </w:rPr>
        <w:t>by</w:t>
      </w:r>
      <w:r>
        <w:rPr>
          <w:rFonts w:ascii="Calibri"/>
          <w:spacing w:val="-5"/>
          <w:sz w:val="16"/>
        </w:rPr>
        <w:t> </w:t>
      </w:r>
      <w:r>
        <w:rPr>
          <w:rFonts w:ascii="Calibri"/>
          <w:sz w:val="16"/>
        </w:rPr>
        <w:t>Bank</w:t>
      </w:r>
      <w:r>
        <w:rPr>
          <w:rFonts w:ascii="Calibri"/>
          <w:spacing w:val="-6"/>
          <w:sz w:val="16"/>
        </w:rPr>
        <w:t> </w:t>
      </w:r>
      <w:r>
        <w:rPr>
          <w:rFonts w:ascii="Calibri"/>
          <w:sz w:val="16"/>
        </w:rPr>
        <w:t>of</w:t>
      </w:r>
      <w:r>
        <w:rPr>
          <w:rFonts w:ascii="Calibri"/>
          <w:spacing w:val="-5"/>
          <w:sz w:val="16"/>
        </w:rPr>
        <w:t> </w:t>
      </w:r>
      <w:r>
        <w:rPr>
          <w:rFonts w:ascii="Calibri"/>
          <w:sz w:val="16"/>
        </w:rPr>
        <w:t>America,</w:t>
      </w:r>
      <w:r>
        <w:rPr>
          <w:rFonts w:ascii="Calibri"/>
          <w:spacing w:val="-6"/>
          <w:sz w:val="16"/>
        </w:rPr>
        <w:t> </w:t>
      </w:r>
      <w:r>
        <w:rPr>
          <w:rFonts w:ascii="Calibri"/>
          <w:sz w:val="16"/>
        </w:rPr>
        <w:t>N.A.</w:t>
      </w:r>
      <w:r>
        <w:rPr>
          <w:rFonts w:ascii="Calibri"/>
          <w:spacing w:val="-5"/>
          <w:sz w:val="16"/>
        </w:rPr>
        <w:t> </w:t>
      </w:r>
      <w:r>
        <w:rPr>
          <w:rFonts w:ascii="Calibri"/>
          <w:sz w:val="16"/>
        </w:rPr>
        <w:t>and</w:t>
      </w:r>
      <w:r>
        <w:rPr>
          <w:rFonts w:ascii="Calibri"/>
          <w:spacing w:val="-5"/>
          <w:sz w:val="16"/>
        </w:rPr>
        <w:t> </w:t>
      </w:r>
      <w:r>
        <w:rPr>
          <w:rFonts w:ascii="Calibri"/>
          <w:sz w:val="16"/>
        </w:rPr>
        <w:t>affiliated</w:t>
      </w:r>
      <w:r>
        <w:rPr>
          <w:rFonts w:ascii="Calibri"/>
          <w:spacing w:val="-6"/>
          <w:sz w:val="16"/>
        </w:rPr>
        <w:t> </w:t>
      </w:r>
      <w:r>
        <w:rPr>
          <w:rFonts w:ascii="Calibri"/>
          <w:sz w:val="16"/>
        </w:rPr>
        <w:t>banks,</w:t>
      </w:r>
      <w:r>
        <w:rPr>
          <w:rFonts w:ascii="Calibri"/>
          <w:spacing w:val="-5"/>
          <w:sz w:val="16"/>
        </w:rPr>
        <w:t> </w:t>
      </w:r>
      <w:r>
        <w:rPr>
          <w:rFonts w:ascii="Calibri"/>
          <w:sz w:val="16"/>
        </w:rPr>
        <w:t>Members</w:t>
      </w:r>
      <w:r>
        <w:rPr>
          <w:rFonts w:ascii="Calibri"/>
          <w:spacing w:val="-6"/>
          <w:sz w:val="16"/>
        </w:rPr>
        <w:t> </w:t>
      </w:r>
      <w:r>
        <w:rPr>
          <w:rFonts w:ascii="Calibri"/>
          <w:sz w:val="16"/>
        </w:rPr>
        <w:t>FDIC</w:t>
      </w:r>
      <w:r>
        <w:rPr>
          <w:rFonts w:ascii="Calibri"/>
          <w:spacing w:val="-5"/>
          <w:sz w:val="16"/>
        </w:rPr>
        <w:t> </w:t>
      </w:r>
      <w:r>
        <w:rPr>
          <w:rFonts w:ascii="Calibri"/>
          <w:sz w:val="16"/>
        </w:rPr>
        <w:t>and</w:t>
      </w:r>
      <w:r>
        <w:rPr>
          <w:rFonts w:ascii="Calibri"/>
          <w:spacing w:val="-5"/>
          <w:sz w:val="16"/>
        </w:rPr>
        <w:t> </w:t>
      </w:r>
      <w:r>
        <w:rPr>
          <w:rFonts w:ascii="Calibri"/>
          <w:sz w:val="16"/>
        </w:rPr>
        <w:t>wholly</w:t>
      </w:r>
      <w:r>
        <w:rPr>
          <w:rFonts w:ascii="Calibri"/>
          <w:spacing w:val="-6"/>
          <w:sz w:val="16"/>
        </w:rPr>
        <w:t> </w:t>
      </w:r>
      <w:r>
        <w:rPr>
          <w:rFonts w:ascii="Calibri"/>
          <w:sz w:val="16"/>
        </w:rPr>
        <w:t>owned</w:t>
      </w:r>
      <w:r>
        <w:rPr>
          <w:rFonts w:ascii="Calibri"/>
          <w:spacing w:val="-5"/>
          <w:sz w:val="16"/>
        </w:rPr>
        <w:t> </w:t>
      </w:r>
      <w:r>
        <w:rPr>
          <w:rFonts w:ascii="Calibri"/>
          <w:sz w:val="16"/>
        </w:rPr>
        <w:t>subsidiaries</w:t>
      </w:r>
      <w:r>
        <w:rPr>
          <w:rFonts w:ascii="Calibri"/>
          <w:spacing w:val="-6"/>
          <w:sz w:val="16"/>
        </w:rPr>
        <w:t> </w:t>
      </w:r>
      <w:r>
        <w:rPr>
          <w:rFonts w:ascii="Calibri"/>
          <w:sz w:val="16"/>
        </w:rPr>
        <w:t>of</w:t>
      </w:r>
      <w:r>
        <w:rPr>
          <w:rFonts w:ascii="Calibri"/>
          <w:spacing w:val="-5"/>
          <w:sz w:val="16"/>
        </w:rPr>
        <w:t> </w:t>
      </w:r>
      <w:r>
        <w:rPr>
          <w:rFonts w:ascii="Calibri"/>
          <w:sz w:val="16"/>
        </w:rPr>
        <w:t>Bank</w:t>
      </w:r>
      <w:r>
        <w:rPr>
          <w:rFonts w:ascii="Calibri"/>
          <w:spacing w:val="-5"/>
          <w:sz w:val="16"/>
        </w:rPr>
        <w:t> </w:t>
      </w:r>
      <w:r>
        <w:rPr>
          <w:rFonts w:ascii="Calibri"/>
          <w:sz w:val="16"/>
        </w:rPr>
        <w:t>of</w:t>
      </w:r>
      <w:r>
        <w:rPr>
          <w:rFonts w:ascii="Calibri"/>
          <w:spacing w:val="-6"/>
          <w:sz w:val="16"/>
        </w:rPr>
        <w:t> </w:t>
      </w:r>
      <w:r>
        <w:rPr>
          <w:rFonts w:ascii="Calibri"/>
          <w:sz w:val="16"/>
        </w:rPr>
        <w:t>America</w:t>
      </w:r>
      <w:r>
        <w:rPr>
          <w:rFonts w:ascii="Calibri"/>
          <w:spacing w:val="-5"/>
          <w:sz w:val="16"/>
        </w:rPr>
        <w:t> </w:t>
      </w:r>
      <w:r>
        <w:rPr>
          <w:rFonts w:ascii="Calibri"/>
          <w:sz w:val="16"/>
        </w:rPr>
        <w:t>Corporation.</w:t>
      </w:r>
    </w:p>
    <w:p>
      <w:pPr>
        <w:spacing w:before="120"/>
        <w:ind w:left="607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Investment</w:t>
      </w:r>
      <w:r>
        <w:rPr>
          <w:rFonts w:ascii="Calibri"/>
          <w:b/>
          <w:spacing w:val="-9"/>
          <w:sz w:val="16"/>
        </w:rPr>
        <w:t> </w:t>
      </w:r>
      <w:r>
        <w:rPr>
          <w:rFonts w:ascii="Calibri"/>
          <w:b/>
          <w:sz w:val="16"/>
        </w:rPr>
        <w:t>products:</w:t>
      </w:r>
    </w:p>
    <w:p>
      <w:pPr>
        <w:pStyle w:val="BodyText"/>
        <w:spacing w:before="7"/>
        <w:rPr>
          <w:rFonts w:ascii="Calibri"/>
          <w:b/>
          <w:sz w:val="9"/>
        </w:rPr>
      </w:pPr>
    </w:p>
    <w:tbl>
      <w:tblPr>
        <w:tblW w:w="0" w:type="auto"/>
        <w:jc w:val="left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6"/>
        <w:gridCol w:w="3676"/>
        <w:gridCol w:w="3618"/>
      </w:tblGrid>
      <w:tr>
        <w:trPr>
          <w:trHeight w:val="243" w:hRule="atLeast"/>
        </w:trPr>
        <w:tc>
          <w:tcPr>
            <w:tcW w:w="3676" w:type="dxa"/>
          </w:tcPr>
          <w:p>
            <w:pPr>
              <w:pStyle w:val="TableParagraph"/>
              <w:spacing w:line="191" w:lineRule="exact" w:before="32"/>
              <w:ind w:left="9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FDIC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Insured</w:t>
            </w:r>
          </w:p>
        </w:tc>
        <w:tc>
          <w:tcPr>
            <w:tcW w:w="3676" w:type="dxa"/>
          </w:tcPr>
          <w:p>
            <w:pPr>
              <w:pStyle w:val="TableParagraph"/>
              <w:spacing w:line="191" w:lineRule="exact" w:before="3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Bank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Guaranteed</w:t>
            </w:r>
          </w:p>
        </w:tc>
        <w:tc>
          <w:tcPr>
            <w:tcW w:w="3618" w:type="dxa"/>
          </w:tcPr>
          <w:p>
            <w:pPr>
              <w:pStyle w:val="TableParagraph"/>
              <w:spacing w:line="191" w:lineRule="exact" w:before="32"/>
              <w:ind w:left="1187"/>
              <w:rPr>
                <w:b/>
                <w:sz w:val="20"/>
              </w:rPr>
            </w:pPr>
            <w:r>
              <w:rPr>
                <w:b/>
                <w:sz w:val="20"/>
              </w:rPr>
              <w:t>May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Lose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Value</w:t>
            </w:r>
          </w:p>
        </w:tc>
      </w:tr>
    </w:tbl>
    <w:p>
      <w:pPr>
        <w:pStyle w:val="BodyText"/>
        <w:rPr>
          <w:rFonts w:ascii="Calibri"/>
          <w:b/>
          <w:sz w:val="16"/>
        </w:rPr>
      </w:pPr>
    </w:p>
    <w:p>
      <w:pPr>
        <w:pStyle w:val="BodyText"/>
        <w:rPr>
          <w:rFonts w:ascii="Calibri"/>
          <w:b/>
          <w:sz w:val="16"/>
        </w:rPr>
      </w:pPr>
    </w:p>
    <w:p>
      <w:pPr>
        <w:pStyle w:val="BodyText"/>
        <w:rPr>
          <w:rFonts w:ascii="Calibri"/>
          <w:b/>
          <w:sz w:val="16"/>
        </w:rPr>
      </w:pPr>
    </w:p>
    <w:p>
      <w:pPr>
        <w:pStyle w:val="BodyText"/>
        <w:rPr>
          <w:rFonts w:ascii="Calibri"/>
          <w:b/>
          <w:sz w:val="16"/>
        </w:rPr>
      </w:pPr>
    </w:p>
    <w:p>
      <w:pPr>
        <w:pStyle w:val="BodyText"/>
        <w:rPr>
          <w:rFonts w:ascii="Calibri"/>
          <w:b/>
          <w:sz w:val="16"/>
        </w:rPr>
      </w:pPr>
    </w:p>
    <w:p>
      <w:pPr>
        <w:pStyle w:val="BodyText"/>
        <w:rPr>
          <w:rFonts w:ascii="Calibri"/>
          <w:b/>
          <w:sz w:val="16"/>
        </w:rPr>
      </w:pPr>
    </w:p>
    <w:p>
      <w:pPr>
        <w:pStyle w:val="BodyText"/>
        <w:rPr>
          <w:rFonts w:ascii="Calibri"/>
          <w:b/>
          <w:sz w:val="16"/>
        </w:rPr>
      </w:pPr>
    </w:p>
    <w:p>
      <w:pPr>
        <w:pStyle w:val="BodyText"/>
        <w:rPr>
          <w:rFonts w:ascii="Calibri"/>
          <w:b/>
          <w:sz w:val="16"/>
        </w:rPr>
      </w:pPr>
    </w:p>
    <w:p>
      <w:pPr>
        <w:pStyle w:val="BodyText"/>
        <w:spacing w:before="4"/>
        <w:rPr>
          <w:rFonts w:ascii="Calibri"/>
          <w:b/>
          <w:sz w:val="13"/>
        </w:rPr>
      </w:pPr>
    </w:p>
    <w:p>
      <w:pPr>
        <w:spacing w:before="0"/>
        <w:ind w:left="0" w:right="446" w:firstLine="0"/>
        <w:jc w:val="right"/>
        <w:rPr>
          <w:sz w:val="16"/>
        </w:rPr>
      </w:pP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4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220" w:bottom="280" w:left="0" w:right="0"/>
        </w:sectPr>
      </w:pPr>
    </w:p>
    <w:p>
      <w:pPr>
        <w:spacing w:before="43"/>
        <w:ind w:left="731" w:right="442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Money Market Mutual Fund performance data quoted represents past performance, and current performance may be lower or</w:t>
      </w:r>
      <w:r>
        <w:rPr>
          <w:rFonts w:ascii="Calibri" w:hAnsi="Calibri"/>
          <w:b/>
          <w:spacing w:val="1"/>
          <w:sz w:val="20"/>
        </w:rPr>
        <w:t> </w:t>
      </w:r>
      <w:r>
        <w:rPr>
          <w:rFonts w:ascii="Calibri" w:hAnsi="Calibri"/>
          <w:b/>
          <w:sz w:val="20"/>
        </w:rPr>
        <w:t>higher.</w:t>
      </w:r>
      <w:r>
        <w:rPr>
          <w:rFonts w:ascii="Calibri" w:hAnsi="Calibri"/>
          <w:b/>
          <w:spacing w:val="-6"/>
          <w:sz w:val="20"/>
        </w:rPr>
        <w:t> </w:t>
      </w:r>
      <w:r>
        <w:rPr>
          <w:rFonts w:ascii="Calibri" w:hAnsi="Calibri"/>
          <w:b/>
          <w:sz w:val="20"/>
        </w:rPr>
        <w:t>Past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performance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is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no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guarantee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of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future</w:t>
      </w:r>
      <w:r>
        <w:rPr>
          <w:rFonts w:ascii="Calibri" w:hAnsi="Calibri"/>
          <w:b/>
          <w:spacing w:val="-6"/>
          <w:sz w:val="20"/>
        </w:rPr>
        <w:t> </w:t>
      </w:r>
      <w:r>
        <w:rPr>
          <w:rFonts w:ascii="Calibri" w:hAnsi="Calibri"/>
          <w:b/>
          <w:sz w:val="20"/>
        </w:rPr>
        <w:t>results.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Performance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data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for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the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most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recent</w:t>
      </w:r>
      <w:r>
        <w:rPr>
          <w:rFonts w:ascii="Calibri" w:hAnsi="Calibri"/>
          <w:b/>
          <w:spacing w:val="-6"/>
          <w:sz w:val="20"/>
        </w:rPr>
        <w:t> </w:t>
      </w:r>
      <w:r>
        <w:rPr>
          <w:rFonts w:ascii="Calibri" w:hAnsi="Calibri"/>
          <w:b/>
          <w:sz w:val="20"/>
        </w:rPr>
        <w:t>month-end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may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be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obtained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by</w:t>
      </w:r>
      <w:r>
        <w:rPr>
          <w:rFonts w:ascii="Calibri" w:hAnsi="Calibri"/>
          <w:b/>
          <w:spacing w:val="1"/>
          <w:sz w:val="20"/>
        </w:rPr>
        <w:t> </w:t>
      </w:r>
      <w:r>
        <w:rPr>
          <w:rFonts w:ascii="Calibri" w:hAnsi="Calibri"/>
          <w:b/>
          <w:sz w:val="20"/>
        </w:rPr>
        <w:t>contacting your Merrill advisor. Merrill Advisory Center Account clients should call 888.654.6837, and Merrill Edge® Self-Directed</w:t>
      </w:r>
      <w:r>
        <w:rPr>
          <w:rFonts w:ascii="Calibri" w:hAnsi="Calibri"/>
          <w:b/>
          <w:spacing w:val="-43"/>
          <w:sz w:val="20"/>
        </w:rPr>
        <w:t> </w:t>
      </w:r>
      <w:r>
        <w:rPr>
          <w:rFonts w:ascii="Calibri" w:hAnsi="Calibri"/>
          <w:b/>
          <w:sz w:val="20"/>
        </w:rPr>
        <w:t>clients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should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call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877.653.4732.</w:t>
      </w:r>
    </w:p>
    <w:p>
      <w:pPr>
        <w:pStyle w:val="BodyText"/>
        <w:spacing w:before="6"/>
        <w:rPr>
          <w:rFonts w:ascii="Calibri"/>
          <w:b/>
          <w:sz w:val="11"/>
        </w:rPr>
      </w:pPr>
    </w:p>
    <w:tbl>
      <w:tblPr>
        <w:tblW w:w="0" w:type="auto"/>
        <w:jc w:val="left"/>
        <w:tblInd w:w="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8"/>
        <w:gridCol w:w="1268"/>
        <w:gridCol w:w="1895"/>
      </w:tblGrid>
      <w:tr>
        <w:trPr>
          <w:trHeight w:val="332" w:hRule="atLeast"/>
        </w:trPr>
        <w:tc>
          <w:tcPr>
            <w:tcW w:w="7288" w:type="dxa"/>
            <w:tcBorders>
              <w:right w:val="single" w:sz="4" w:space="0" w:color="F1F1F1"/>
            </w:tcBorders>
            <w:shd w:val="clear" w:color="auto" w:fill="191F55"/>
          </w:tcPr>
          <w:p>
            <w:pPr>
              <w:pStyle w:val="TableParagraph"/>
              <w:spacing w:before="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Taxable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Money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Market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Mutual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Funds</w:t>
            </w:r>
          </w:p>
        </w:tc>
        <w:tc>
          <w:tcPr>
            <w:tcW w:w="1268" w:type="dxa"/>
            <w:tcBorders>
              <w:left w:val="single" w:sz="4" w:space="0" w:color="F1F1F1"/>
              <w:right w:val="single" w:sz="4" w:space="0" w:color="F1F1F1"/>
            </w:tcBorders>
            <w:shd w:val="clear" w:color="auto" w:fill="191F55"/>
          </w:tcPr>
          <w:p>
            <w:pPr>
              <w:pStyle w:val="TableParagraph"/>
              <w:spacing w:before="73"/>
              <w:ind w:left="1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Symbol</w:t>
            </w:r>
          </w:p>
        </w:tc>
        <w:tc>
          <w:tcPr>
            <w:tcW w:w="1895" w:type="dxa"/>
            <w:tcBorders>
              <w:left w:val="single" w:sz="4" w:space="0" w:color="F1F1F1"/>
              <w:right w:val="single" w:sz="4" w:space="0" w:color="F1F1F1"/>
            </w:tcBorders>
            <w:shd w:val="clear" w:color="auto" w:fill="191F55"/>
          </w:tcPr>
          <w:p>
            <w:pPr>
              <w:pStyle w:val="TableParagraph"/>
              <w:spacing w:before="73"/>
              <w:ind w:left="12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Seven-Day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Yield</w:t>
            </w:r>
          </w:p>
        </w:tc>
      </w:tr>
      <w:tr>
        <w:trPr>
          <w:trHeight w:val="287" w:hRule="atLeast"/>
        </w:trPr>
        <w:tc>
          <w:tcPr>
            <w:tcW w:w="7288" w:type="dxa"/>
            <w:tcBorders>
              <w:right w:val="single" w:sz="2" w:space="0" w:color="9794D1"/>
            </w:tcBorders>
            <w:shd w:val="clear" w:color="auto" w:fill="716F9B"/>
          </w:tcPr>
          <w:p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color w:val="FFFFFF"/>
                <w:sz w:val="18"/>
              </w:rPr>
              <w:t>BlackRock®</w:t>
            </w:r>
            <w:r>
              <w:rPr>
                <w:color w:val="FFFFFF"/>
                <w:spacing w:val="-5"/>
                <w:sz w:val="18"/>
              </w:rPr>
              <w:t> </w:t>
            </w:r>
            <w:r>
              <w:rPr>
                <w:color w:val="FFFFFF"/>
                <w:sz w:val="18"/>
              </w:rPr>
              <w:t>Funds</w:t>
            </w:r>
            <w:r>
              <w:rPr>
                <w:color w:val="FFFFFF"/>
                <w:spacing w:val="-4"/>
                <w:sz w:val="18"/>
              </w:rPr>
              <w:t> </w:t>
            </w:r>
            <w:r>
              <w:rPr>
                <w:color w:val="FFFFFF"/>
                <w:sz w:val="18"/>
              </w:rPr>
              <w:t>(as</w:t>
            </w:r>
            <w:r>
              <w:rPr>
                <w:color w:val="FFFFFF"/>
                <w:spacing w:val="-5"/>
                <w:sz w:val="18"/>
              </w:rPr>
              <w:t> </w:t>
            </w:r>
            <w:r>
              <w:rPr>
                <w:color w:val="FFFFFF"/>
                <w:sz w:val="18"/>
              </w:rPr>
              <w:t>of</w:t>
            </w:r>
            <w:r>
              <w:rPr>
                <w:color w:val="FFFFFF"/>
                <w:spacing w:val="-5"/>
                <w:sz w:val="18"/>
              </w:rPr>
              <w:t> </w:t>
            </w:r>
            <w:r>
              <w:rPr>
                <w:color w:val="FFFFFF"/>
                <w:sz w:val="18"/>
              </w:rPr>
              <w:t>10/30/2024)</w:t>
            </w:r>
          </w:p>
        </w:tc>
        <w:tc>
          <w:tcPr>
            <w:tcW w:w="3163" w:type="dxa"/>
            <w:gridSpan w:val="2"/>
            <w:tcBorders>
              <w:left w:val="single" w:sz="2" w:space="0" w:color="9794D1"/>
            </w:tcBorders>
            <w:shd w:val="clear" w:color="auto" w:fill="716F9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288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7" w:lineRule="exact" w:before="58"/>
              <w:rPr>
                <w:b/>
                <w:sz w:val="18"/>
              </w:rPr>
            </w:pPr>
            <w:r>
              <w:rPr>
                <w:sz w:val="18"/>
              </w:rPr>
              <w:t>BlackRock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Federal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Trust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Fund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Institutional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z w:val="18"/>
                <w:vertAlign w:val="superscript"/>
              </w:rPr>
              <w:t>7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sz w:val="18"/>
                <w:vertAlign w:val="superscript"/>
              </w:rPr>
              <w:t>8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b/>
                <w:spacing w:val="-1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ind w:left="177"/>
              <w:rPr>
                <w:sz w:val="18"/>
              </w:rPr>
            </w:pPr>
            <w:r>
              <w:rPr>
                <w:sz w:val="18"/>
              </w:rPr>
              <w:t>TFFXX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6"/>
              <w:ind w:left="176"/>
              <w:rPr>
                <w:sz w:val="18"/>
              </w:rPr>
            </w:pPr>
            <w:r>
              <w:rPr>
                <w:sz w:val="18"/>
              </w:rPr>
              <w:t>4.69%</w:t>
            </w:r>
          </w:p>
        </w:tc>
      </w:tr>
      <w:tr>
        <w:trPr>
          <w:trHeight w:val="277" w:hRule="atLeast"/>
        </w:trPr>
        <w:tc>
          <w:tcPr>
            <w:tcW w:w="7288" w:type="dxa"/>
            <w:tcBorders>
              <w:bottom w:val="single" w:sz="2" w:space="0" w:color="F1F1F1"/>
              <w:right w:val="single" w:sz="4" w:space="0" w:color="CAC1B9"/>
            </w:tcBorders>
          </w:tcPr>
          <w:p>
            <w:pPr>
              <w:pStyle w:val="TableParagraph"/>
              <w:spacing w:line="202" w:lineRule="exact" w:before="56"/>
              <w:rPr>
                <w:b/>
                <w:sz w:val="18"/>
              </w:rPr>
            </w:pPr>
            <w:r>
              <w:rPr>
                <w:sz w:val="18"/>
              </w:rPr>
              <w:t>BlackRock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Liquidity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Funds: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FedFund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Cash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Reserve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z w:val="18"/>
                <w:vertAlign w:val="superscript"/>
              </w:rPr>
              <w:t>9,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bottom w:val="single" w:sz="2" w:space="0" w:color="F1F1F1"/>
              <w:right w:val="single" w:sz="4" w:space="0" w:color="CAC1B9"/>
            </w:tcBorders>
          </w:tcPr>
          <w:p>
            <w:pPr>
              <w:pStyle w:val="TableParagraph"/>
              <w:spacing w:line="210" w:lineRule="exact" w:before="48"/>
              <w:ind w:left="177"/>
              <w:rPr>
                <w:sz w:val="18"/>
              </w:rPr>
            </w:pPr>
            <w:r>
              <w:rPr>
                <w:sz w:val="18"/>
              </w:rPr>
              <w:t>BFRXX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</w:tcPr>
          <w:p>
            <w:pPr>
              <w:pStyle w:val="TableParagraph"/>
              <w:spacing w:before="34"/>
              <w:ind w:left="176"/>
              <w:rPr>
                <w:sz w:val="18"/>
              </w:rPr>
            </w:pPr>
            <w:r>
              <w:rPr>
                <w:sz w:val="18"/>
              </w:rPr>
              <w:t>4.36%</w:t>
            </w:r>
          </w:p>
        </w:tc>
      </w:tr>
      <w:tr>
        <w:trPr>
          <w:trHeight w:val="284" w:hRule="atLeast"/>
        </w:trPr>
        <w:tc>
          <w:tcPr>
            <w:tcW w:w="7288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06" w:lineRule="exact" w:before="58"/>
              <w:rPr>
                <w:b/>
                <w:sz w:val="18"/>
              </w:rPr>
            </w:pPr>
            <w:r>
              <w:rPr>
                <w:sz w:val="18"/>
              </w:rPr>
              <w:t>BlackRock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Liquidity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Funds: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FedFund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Institutional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z w:val="18"/>
                <w:vertAlign w:val="superscript"/>
              </w:rPr>
              <w:t>7,8,</w:t>
            </w:r>
            <w:r>
              <w:rPr>
                <w:spacing w:val="-17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3" w:lineRule="exact" w:before="51"/>
              <w:ind w:left="177"/>
              <w:rPr>
                <w:sz w:val="18"/>
              </w:rPr>
            </w:pPr>
            <w:r>
              <w:rPr>
                <w:sz w:val="18"/>
              </w:rPr>
              <w:t>TFDXX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6"/>
              <w:ind w:left="176"/>
              <w:rPr>
                <w:sz w:val="18"/>
              </w:rPr>
            </w:pPr>
            <w:r>
              <w:rPr>
                <w:sz w:val="18"/>
              </w:rPr>
              <w:t>4.76%</w:t>
            </w:r>
          </w:p>
        </w:tc>
      </w:tr>
      <w:tr>
        <w:trPr>
          <w:trHeight w:val="286" w:hRule="atLeast"/>
        </w:trPr>
        <w:tc>
          <w:tcPr>
            <w:tcW w:w="7288" w:type="dxa"/>
            <w:tcBorders>
              <w:bottom w:val="single" w:sz="2" w:space="0" w:color="F1F1F1"/>
              <w:right w:val="single" w:sz="4" w:space="0" w:color="CAC1B9"/>
            </w:tcBorders>
          </w:tcPr>
          <w:p>
            <w:pPr>
              <w:pStyle w:val="TableParagraph"/>
              <w:spacing w:line="207" w:lineRule="exact" w:before="59"/>
              <w:rPr>
                <w:b/>
                <w:sz w:val="18"/>
              </w:rPr>
            </w:pPr>
            <w:r>
              <w:rPr>
                <w:spacing w:val="-1"/>
                <w:w w:val="105"/>
                <w:sz w:val="18"/>
              </w:rPr>
              <w:t>BlackRock Liquidity Funds: FedFund ---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Premier </w:t>
            </w:r>
            <w:r>
              <w:rPr>
                <w:w w:val="105"/>
                <w:sz w:val="18"/>
              </w:rPr>
              <w:t>Class</w:t>
            </w:r>
            <w:r>
              <w:rPr>
                <w:w w:val="105"/>
                <w:sz w:val="18"/>
                <w:vertAlign w:val="superscript"/>
              </w:rPr>
              <w:t>7,8,10,</w:t>
            </w:r>
            <w:r>
              <w:rPr>
                <w:spacing w:val="-16"/>
                <w:w w:val="105"/>
                <w:sz w:val="18"/>
                <w:vertAlign w:val="baseline"/>
              </w:rPr>
              <w:t> </w:t>
            </w:r>
            <w:r>
              <w:rPr>
                <w:b/>
                <w:w w:val="105"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bottom w:val="single" w:sz="2" w:space="0" w:color="F1F1F1"/>
              <w:right w:val="single" w:sz="4" w:space="0" w:color="CAC1B9"/>
            </w:tcBorders>
          </w:tcPr>
          <w:p>
            <w:pPr>
              <w:pStyle w:val="TableParagraph"/>
              <w:spacing w:line="215" w:lineRule="exact" w:before="51"/>
              <w:ind w:left="177"/>
              <w:rPr>
                <w:sz w:val="18"/>
              </w:rPr>
            </w:pPr>
            <w:r>
              <w:rPr>
                <w:sz w:val="18"/>
              </w:rPr>
              <w:t>BUPXX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</w:tcPr>
          <w:p>
            <w:pPr>
              <w:pStyle w:val="TableParagraph"/>
              <w:spacing w:before="37"/>
              <w:ind w:left="159"/>
              <w:rPr>
                <w:sz w:val="18"/>
              </w:rPr>
            </w:pPr>
            <w:r>
              <w:rPr>
                <w:sz w:val="18"/>
              </w:rPr>
              <w:t>4.76%</w:t>
            </w:r>
          </w:p>
        </w:tc>
      </w:tr>
      <w:tr>
        <w:trPr>
          <w:trHeight w:val="292" w:hRule="atLeast"/>
        </w:trPr>
        <w:tc>
          <w:tcPr>
            <w:tcW w:w="7288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5" w:lineRule="exact" w:before="58"/>
              <w:rPr>
                <w:b/>
                <w:sz w:val="18"/>
              </w:rPr>
            </w:pPr>
            <w:r>
              <w:rPr>
                <w:spacing w:val="-1"/>
                <w:w w:val="105"/>
                <w:sz w:val="18"/>
              </w:rPr>
              <w:t>BlackRock Liquidity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Funds: TempCash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Fund ---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Institutional</w:t>
            </w:r>
            <w:r>
              <w:rPr>
                <w:w w:val="105"/>
                <w:sz w:val="18"/>
              </w:rPr>
              <w:t> Class</w:t>
            </w:r>
            <w:r>
              <w:rPr>
                <w:w w:val="105"/>
                <w:sz w:val="18"/>
                <w:vertAlign w:val="superscript"/>
              </w:rPr>
              <w:t>7,8,</w:t>
            </w:r>
            <w:r>
              <w:rPr>
                <w:spacing w:val="-15"/>
                <w:w w:val="105"/>
                <w:sz w:val="18"/>
                <w:vertAlign w:val="baseline"/>
              </w:rPr>
              <w:t> </w:t>
            </w:r>
            <w:r>
              <w:rPr>
                <w:b/>
                <w:w w:val="105"/>
                <w:sz w:val="18"/>
                <w:vertAlign w:val="baseline"/>
              </w:rPr>
              <w:t>**</w:t>
            </w:r>
          </w:p>
        </w:tc>
        <w:tc>
          <w:tcPr>
            <w:tcW w:w="1268" w:type="dxa"/>
            <w:tcBorders>
              <w:left w:val="single" w:sz="4" w:space="0" w:color="CAC1B9"/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51"/>
              <w:ind w:left="177"/>
              <w:rPr>
                <w:sz w:val="18"/>
              </w:rPr>
            </w:pPr>
            <w:r>
              <w:rPr>
                <w:sz w:val="18"/>
              </w:rPr>
              <w:t>TMCXX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6"/>
              <w:ind w:left="176"/>
              <w:rPr>
                <w:sz w:val="18"/>
              </w:rPr>
            </w:pPr>
            <w:r>
              <w:rPr>
                <w:sz w:val="18"/>
              </w:rPr>
              <w:t>4.85%</w:t>
            </w:r>
          </w:p>
        </w:tc>
      </w:tr>
      <w:tr>
        <w:trPr>
          <w:trHeight w:val="275" w:hRule="atLeast"/>
        </w:trPr>
        <w:tc>
          <w:tcPr>
            <w:tcW w:w="7288" w:type="dxa"/>
            <w:tcBorders>
              <w:bottom w:val="single" w:sz="4" w:space="0" w:color="F1F1F1"/>
              <w:right w:val="single" w:sz="4" w:space="0" w:color="CAC1B9"/>
            </w:tcBorders>
          </w:tcPr>
          <w:p>
            <w:pPr>
              <w:pStyle w:val="TableParagraph"/>
              <w:spacing w:line="199" w:lineRule="exact" w:before="56"/>
              <w:rPr>
                <w:b/>
                <w:sz w:val="18"/>
              </w:rPr>
            </w:pPr>
            <w:r>
              <w:rPr>
                <w:spacing w:val="-1"/>
                <w:w w:val="105"/>
                <w:sz w:val="18"/>
              </w:rPr>
              <w:t>BlackRock Liquidity Funds: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T-Fund ---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Institutional </w:t>
            </w:r>
            <w:r>
              <w:rPr>
                <w:w w:val="105"/>
                <w:sz w:val="18"/>
              </w:rPr>
              <w:t>Class</w:t>
            </w:r>
            <w:r>
              <w:rPr>
                <w:w w:val="105"/>
                <w:sz w:val="18"/>
                <w:vertAlign w:val="superscript"/>
              </w:rPr>
              <w:t>7,8,</w:t>
            </w:r>
            <w:r>
              <w:rPr>
                <w:spacing w:val="-14"/>
                <w:w w:val="105"/>
                <w:sz w:val="18"/>
                <w:vertAlign w:val="baseline"/>
              </w:rPr>
              <w:t> </w:t>
            </w:r>
            <w:r>
              <w:rPr>
                <w:b/>
                <w:w w:val="105"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bottom w:val="single" w:sz="4" w:space="0" w:color="F1F1F1"/>
              <w:right w:val="single" w:sz="4" w:space="0" w:color="CAC1B9"/>
            </w:tcBorders>
          </w:tcPr>
          <w:p>
            <w:pPr>
              <w:pStyle w:val="TableParagraph"/>
              <w:spacing w:line="207" w:lineRule="exact" w:before="48"/>
              <w:ind w:left="177"/>
              <w:rPr>
                <w:sz w:val="18"/>
              </w:rPr>
            </w:pPr>
            <w:r>
              <w:rPr>
                <w:sz w:val="18"/>
              </w:rPr>
              <w:t>TSTXX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</w:tcPr>
          <w:p>
            <w:pPr>
              <w:pStyle w:val="TableParagraph"/>
              <w:spacing w:before="34"/>
              <w:ind w:left="176"/>
              <w:rPr>
                <w:sz w:val="18"/>
              </w:rPr>
            </w:pPr>
            <w:r>
              <w:rPr>
                <w:sz w:val="18"/>
              </w:rPr>
              <w:t>4.75%</w:t>
            </w:r>
          </w:p>
        </w:tc>
      </w:tr>
      <w:tr>
        <w:trPr>
          <w:trHeight w:val="290" w:hRule="atLeast"/>
        </w:trPr>
        <w:tc>
          <w:tcPr>
            <w:tcW w:w="7288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2" w:lineRule="exact" w:before="58"/>
              <w:rPr>
                <w:b/>
                <w:sz w:val="18"/>
              </w:rPr>
            </w:pPr>
            <w:r>
              <w:rPr>
                <w:spacing w:val="-1"/>
                <w:w w:val="105"/>
                <w:sz w:val="18"/>
              </w:rPr>
              <w:t>BlackRock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Liquidity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Funds: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T-Fund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---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Premier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Class</w:t>
            </w:r>
            <w:r>
              <w:rPr>
                <w:spacing w:val="-1"/>
                <w:w w:val="105"/>
                <w:sz w:val="18"/>
                <w:vertAlign w:val="superscript"/>
              </w:rPr>
              <w:t>7,8,10,</w:t>
            </w:r>
            <w:r>
              <w:rPr>
                <w:spacing w:val="-14"/>
                <w:w w:val="105"/>
                <w:sz w:val="18"/>
                <w:vertAlign w:val="baseline"/>
              </w:rPr>
              <w:t> </w:t>
            </w:r>
            <w:r>
              <w:rPr>
                <w:b/>
                <w:w w:val="105"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ind w:left="177"/>
              <w:rPr>
                <w:sz w:val="18"/>
              </w:rPr>
            </w:pPr>
            <w:r>
              <w:rPr>
                <w:sz w:val="18"/>
              </w:rPr>
              <w:t>BEMXX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6"/>
              <w:ind w:left="176"/>
              <w:rPr>
                <w:sz w:val="18"/>
              </w:rPr>
            </w:pPr>
            <w:r>
              <w:rPr>
                <w:sz w:val="18"/>
              </w:rPr>
              <w:t>4.75%</w:t>
            </w:r>
          </w:p>
        </w:tc>
      </w:tr>
      <w:tr>
        <w:trPr>
          <w:trHeight w:val="284" w:hRule="atLeast"/>
        </w:trPr>
        <w:tc>
          <w:tcPr>
            <w:tcW w:w="7288" w:type="dxa"/>
            <w:tcBorders>
              <w:right w:val="single" w:sz="4" w:space="0" w:color="CAC1B9"/>
            </w:tcBorders>
          </w:tcPr>
          <w:p>
            <w:pPr>
              <w:pStyle w:val="TableParagraph"/>
              <w:spacing w:line="206" w:lineRule="exact" w:before="58"/>
              <w:rPr>
                <w:b/>
                <w:sz w:val="18"/>
              </w:rPr>
            </w:pPr>
            <w:r>
              <w:rPr>
                <w:spacing w:val="-1"/>
                <w:w w:val="105"/>
                <w:sz w:val="18"/>
              </w:rPr>
              <w:t>BlackRock Liquidity Funds: Treasury Trust --- Cash </w:t>
            </w:r>
            <w:r>
              <w:rPr>
                <w:w w:val="105"/>
                <w:sz w:val="18"/>
              </w:rPr>
              <w:t>Reserve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Class</w:t>
            </w:r>
            <w:r>
              <w:rPr>
                <w:w w:val="105"/>
                <w:sz w:val="18"/>
                <w:vertAlign w:val="superscript"/>
              </w:rPr>
              <w:t>9,</w:t>
            </w:r>
            <w:r>
              <w:rPr>
                <w:spacing w:val="-14"/>
                <w:w w:val="105"/>
                <w:sz w:val="18"/>
                <w:vertAlign w:val="baseline"/>
              </w:rPr>
              <w:t> </w:t>
            </w:r>
            <w:r>
              <w:rPr>
                <w:b/>
                <w:w w:val="105"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right w:val="single" w:sz="4" w:space="0" w:color="CAC1B9"/>
            </w:tcBorders>
          </w:tcPr>
          <w:p>
            <w:pPr>
              <w:pStyle w:val="TableParagraph"/>
              <w:spacing w:line="213" w:lineRule="exact" w:before="51"/>
              <w:ind w:left="177"/>
              <w:rPr>
                <w:sz w:val="18"/>
              </w:rPr>
            </w:pPr>
            <w:r>
              <w:rPr>
                <w:sz w:val="18"/>
              </w:rPr>
              <w:t>BTFXX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</w:tcPr>
          <w:p>
            <w:pPr>
              <w:pStyle w:val="TableParagraph"/>
              <w:spacing w:before="36"/>
              <w:ind w:left="176"/>
              <w:rPr>
                <w:sz w:val="18"/>
              </w:rPr>
            </w:pPr>
            <w:r>
              <w:rPr>
                <w:sz w:val="18"/>
              </w:rPr>
              <w:t>4.26%</w:t>
            </w:r>
          </w:p>
        </w:tc>
      </w:tr>
      <w:tr>
        <w:trPr>
          <w:trHeight w:val="287" w:hRule="atLeast"/>
        </w:trPr>
        <w:tc>
          <w:tcPr>
            <w:tcW w:w="7288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08" w:lineRule="exact" w:before="59"/>
              <w:rPr>
                <w:sz w:val="18"/>
              </w:rPr>
            </w:pPr>
            <w:r>
              <w:rPr>
                <w:spacing w:val="-1"/>
                <w:sz w:val="18"/>
              </w:rPr>
              <w:t>BlackRock Liquidity Funds: Treasury </w:t>
            </w:r>
            <w:r>
              <w:rPr>
                <w:sz w:val="18"/>
              </w:rPr>
              <w:t>Trust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Institutional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z w:val="18"/>
                <w:vertAlign w:val="superscript"/>
              </w:rPr>
              <w:t>7,8,</w:t>
            </w:r>
            <w:r>
              <w:rPr>
                <w:spacing w:val="-1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6" w:lineRule="exact" w:before="51"/>
              <w:ind w:left="177"/>
              <w:rPr>
                <w:sz w:val="18"/>
              </w:rPr>
            </w:pPr>
            <w:r>
              <w:rPr>
                <w:sz w:val="18"/>
              </w:rPr>
              <w:t>TTTXX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7"/>
              <w:ind w:left="176"/>
              <w:rPr>
                <w:sz w:val="18"/>
              </w:rPr>
            </w:pPr>
            <w:r>
              <w:rPr>
                <w:sz w:val="18"/>
              </w:rPr>
              <w:t>4.66%</w:t>
            </w:r>
          </w:p>
        </w:tc>
      </w:tr>
      <w:tr>
        <w:trPr>
          <w:trHeight w:val="286" w:hRule="atLeast"/>
        </w:trPr>
        <w:tc>
          <w:tcPr>
            <w:tcW w:w="10451" w:type="dxa"/>
            <w:gridSpan w:val="3"/>
            <w:tcBorders>
              <w:bottom w:val="single" w:sz="4" w:space="0" w:color="F1F1F1"/>
            </w:tcBorders>
            <w:shd w:val="clear" w:color="auto" w:fill="716F9B"/>
          </w:tcPr>
          <w:p>
            <w:pPr>
              <w:pStyle w:val="TableParagraph"/>
              <w:spacing w:line="214" w:lineRule="exact" w:before="51"/>
              <w:rPr>
                <w:sz w:val="18"/>
              </w:rPr>
            </w:pPr>
            <w:r>
              <w:rPr>
                <w:color w:val="FFFFFF"/>
                <w:sz w:val="18"/>
              </w:rPr>
              <w:t>Federated</w:t>
            </w:r>
            <w:r>
              <w:rPr>
                <w:color w:val="FFFFFF"/>
                <w:spacing w:val="7"/>
                <w:sz w:val="18"/>
              </w:rPr>
              <w:t> </w:t>
            </w:r>
            <w:r>
              <w:rPr>
                <w:color w:val="FFFFFF"/>
                <w:sz w:val="18"/>
              </w:rPr>
              <w:t>Hermes®</w:t>
            </w:r>
            <w:r>
              <w:rPr>
                <w:color w:val="FFFFFF"/>
                <w:spacing w:val="7"/>
                <w:sz w:val="18"/>
              </w:rPr>
              <w:t> </w:t>
            </w:r>
            <w:r>
              <w:rPr>
                <w:color w:val="FFFFFF"/>
                <w:sz w:val="18"/>
              </w:rPr>
              <w:t>Funds</w:t>
            </w:r>
            <w:r>
              <w:rPr>
                <w:color w:val="FFFFFF"/>
                <w:spacing w:val="5"/>
                <w:sz w:val="18"/>
              </w:rPr>
              <w:t> </w:t>
            </w:r>
            <w:r>
              <w:rPr>
                <w:color w:val="FFFFFF"/>
                <w:sz w:val="18"/>
              </w:rPr>
              <w:t>(as</w:t>
            </w:r>
            <w:r>
              <w:rPr>
                <w:color w:val="FFFFFF"/>
                <w:spacing w:val="6"/>
                <w:sz w:val="18"/>
              </w:rPr>
              <w:t> </w:t>
            </w:r>
            <w:r>
              <w:rPr>
                <w:color w:val="FFFFFF"/>
                <w:sz w:val="18"/>
              </w:rPr>
              <w:t>of</w:t>
            </w:r>
            <w:r>
              <w:rPr>
                <w:color w:val="FFFFFF"/>
                <w:spacing w:val="8"/>
                <w:sz w:val="18"/>
              </w:rPr>
              <w:t> </w:t>
            </w:r>
            <w:r>
              <w:rPr>
                <w:color w:val="FFFFFF"/>
                <w:sz w:val="18"/>
              </w:rPr>
              <w:t>10/30/2024)</w:t>
            </w:r>
          </w:p>
        </w:tc>
      </w:tr>
      <w:tr>
        <w:trPr>
          <w:trHeight w:val="275" w:hRule="atLeast"/>
        </w:trPr>
        <w:tc>
          <w:tcPr>
            <w:tcW w:w="7288" w:type="dxa"/>
            <w:tcBorders>
              <w:top w:val="single" w:sz="2" w:space="0" w:color="F1F1F1"/>
              <w:bottom w:val="single" w:sz="2" w:space="0" w:color="F1F1F1"/>
              <w:right w:val="single" w:sz="4" w:space="0" w:color="CAC1B9"/>
            </w:tcBorders>
          </w:tcPr>
          <w:p>
            <w:pPr>
              <w:pStyle w:val="TableParagraph"/>
              <w:spacing w:line="200" w:lineRule="exact" w:before="54"/>
              <w:rPr>
                <w:b/>
                <w:sz w:val="18"/>
              </w:rPr>
            </w:pPr>
            <w:r>
              <w:rPr>
                <w:spacing w:val="-1"/>
                <w:w w:val="105"/>
                <w:sz w:val="18"/>
              </w:rPr>
              <w:t>Federated Hermes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Government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Obligations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Tax-Managed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Fund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---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Institutional</w:t>
            </w:r>
            <w:r>
              <w:rPr>
                <w:w w:val="105"/>
                <w:sz w:val="18"/>
              </w:rPr>
              <w:t> Class</w:t>
            </w:r>
            <w:r>
              <w:rPr>
                <w:w w:val="105"/>
                <w:sz w:val="18"/>
                <w:vertAlign w:val="superscript"/>
              </w:rPr>
              <w:t>7,8</w:t>
            </w:r>
            <w:r>
              <w:rPr>
                <w:b/>
                <w:w w:val="105"/>
                <w:sz w:val="18"/>
                <w:vertAlign w:val="superscript"/>
              </w:rPr>
              <w:t>,</w:t>
            </w:r>
            <w:r>
              <w:rPr>
                <w:b/>
                <w:spacing w:val="-15"/>
                <w:w w:val="105"/>
                <w:sz w:val="18"/>
                <w:vertAlign w:val="baseline"/>
              </w:rPr>
              <w:t> </w:t>
            </w:r>
            <w:r>
              <w:rPr>
                <w:b/>
                <w:w w:val="105"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top w:val="single" w:sz="4" w:space="0" w:color="F1F1F1"/>
              <w:left w:val="single" w:sz="4" w:space="0" w:color="CAC1B9"/>
              <w:bottom w:val="single" w:sz="4" w:space="0" w:color="F1F1F1"/>
              <w:right w:val="single" w:sz="4" w:space="0" w:color="CAC1B9"/>
            </w:tcBorders>
          </w:tcPr>
          <w:p>
            <w:pPr>
              <w:pStyle w:val="TableParagraph"/>
              <w:spacing w:line="207" w:lineRule="exact" w:before="47"/>
              <w:ind w:left="177"/>
              <w:rPr>
                <w:sz w:val="18"/>
              </w:rPr>
            </w:pPr>
            <w:r>
              <w:rPr>
                <w:sz w:val="18"/>
              </w:rPr>
              <w:t>GOTXX</w:t>
            </w:r>
          </w:p>
        </w:tc>
        <w:tc>
          <w:tcPr>
            <w:tcW w:w="1895" w:type="dxa"/>
            <w:tcBorders>
              <w:top w:val="single" w:sz="4" w:space="0" w:color="F1F1F1"/>
              <w:left w:val="single" w:sz="4" w:space="0" w:color="CAC1B9"/>
              <w:bottom w:val="single" w:sz="4" w:space="0" w:color="F1F1F1"/>
            </w:tcBorders>
          </w:tcPr>
          <w:p>
            <w:pPr>
              <w:pStyle w:val="TableParagraph"/>
              <w:spacing w:before="32"/>
              <w:ind w:left="176"/>
              <w:rPr>
                <w:sz w:val="18"/>
              </w:rPr>
            </w:pPr>
            <w:r>
              <w:rPr>
                <w:sz w:val="18"/>
              </w:rPr>
              <w:t>4.66%</w:t>
            </w:r>
          </w:p>
        </w:tc>
      </w:tr>
      <w:tr>
        <w:trPr>
          <w:trHeight w:val="288" w:hRule="atLeast"/>
        </w:trPr>
        <w:tc>
          <w:tcPr>
            <w:tcW w:w="7288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1" w:lineRule="exact" w:before="57"/>
              <w:rPr>
                <w:b/>
                <w:sz w:val="18"/>
              </w:rPr>
            </w:pPr>
            <w:r>
              <w:rPr>
                <w:spacing w:val="-1"/>
                <w:w w:val="105"/>
                <w:sz w:val="18"/>
              </w:rPr>
              <w:t>Federated Hermes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Government Obligations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Fund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--- Institutional</w:t>
            </w:r>
            <w:r>
              <w:rPr>
                <w:w w:val="105"/>
                <w:sz w:val="18"/>
              </w:rPr>
              <w:t> Class</w:t>
            </w:r>
            <w:r>
              <w:rPr>
                <w:w w:val="105"/>
                <w:sz w:val="18"/>
                <w:vertAlign w:val="superscript"/>
              </w:rPr>
              <w:t>7,8</w:t>
            </w:r>
            <w:r>
              <w:rPr>
                <w:b/>
                <w:w w:val="105"/>
                <w:sz w:val="18"/>
                <w:vertAlign w:val="superscript"/>
              </w:rPr>
              <w:t>,</w:t>
            </w:r>
            <w:r>
              <w:rPr>
                <w:b/>
                <w:spacing w:val="-15"/>
                <w:w w:val="105"/>
                <w:sz w:val="18"/>
                <w:vertAlign w:val="baseline"/>
              </w:rPr>
              <w:t> </w:t>
            </w:r>
            <w:r>
              <w:rPr>
                <w:b/>
                <w:w w:val="105"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8" w:lineRule="exact"/>
              <w:ind w:left="177"/>
              <w:rPr>
                <w:sz w:val="18"/>
              </w:rPr>
            </w:pPr>
            <w:r>
              <w:rPr>
                <w:sz w:val="18"/>
              </w:rPr>
              <w:t>GOIXX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5"/>
              <w:ind w:left="176"/>
              <w:rPr>
                <w:sz w:val="18"/>
              </w:rPr>
            </w:pPr>
            <w:r>
              <w:rPr>
                <w:sz w:val="18"/>
              </w:rPr>
              <w:t>4.72%</w:t>
            </w:r>
          </w:p>
        </w:tc>
      </w:tr>
      <w:tr>
        <w:trPr>
          <w:trHeight w:val="277" w:hRule="atLeast"/>
        </w:trPr>
        <w:tc>
          <w:tcPr>
            <w:tcW w:w="7288" w:type="dxa"/>
            <w:tcBorders>
              <w:bottom w:val="single" w:sz="2" w:space="0" w:color="F1F1F1"/>
              <w:right w:val="single" w:sz="4" w:space="0" w:color="CAC1B9"/>
            </w:tcBorders>
          </w:tcPr>
          <w:p>
            <w:pPr>
              <w:pStyle w:val="TableParagraph"/>
              <w:spacing w:line="200" w:lineRule="exact" w:before="57"/>
              <w:rPr>
                <w:b/>
                <w:sz w:val="18"/>
              </w:rPr>
            </w:pPr>
            <w:r>
              <w:rPr>
                <w:sz w:val="18"/>
              </w:rPr>
              <w:t>Federated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Hermes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Government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Obligations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Fund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Premier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z w:val="18"/>
                <w:vertAlign w:val="superscript"/>
              </w:rPr>
              <w:t>7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b/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superscript"/>
              </w:rPr>
              <w:t>8,10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b/>
                <w:spacing w:val="-5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bottom w:val="single" w:sz="2" w:space="0" w:color="F1F1F1"/>
              <w:right w:val="single" w:sz="4" w:space="0" w:color="CAC1B9"/>
            </w:tcBorders>
          </w:tcPr>
          <w:p>
            <w:pPr>
              <w:pStyle w:val="TableParagraph"/>
              <w:spacing w:line="207" w:lineRule="exact"/>
              <w:ind w:left="177"/>
              <w:rPr>
                <w:sz w:val="18"/>
              </w:rPr>
            </w:pPr>
            <w:r>
              <w:rPr>
                <w:sz w:val="18"/>
              </w:rPr>
              <w:t>GOFXX</w:t>
            </w:r>
          </w:p>
        </w:tc>
        <w:tc>
          <w:tcPr>
            <w:tcW w:w="1895" w:type="dxa"/>
            <w:tcBorders>
              <w:left w:val="single" w:sz="4" w:space="0" w:color="CAC1B9"/>
              <w:bottom w:val="single" w:sz="4" w:space="0" w:color="F1F1F1"/>
            </w:tcBorders>
          </w:tcPr>
          <w:p>
            <w:pPr>
              <w:pStyle w:val="TableParagraph"/>
              <w:spacing w:before="35"/>
              <w:ind w:left="176"/>
              <w:rPr>
                <w:sz w:val="18"/>
              </w:rPr>
            </w:pPr>
            <w:r>
              <w:rPr>
                <w:sz w:val="18"/>
              </w:rPr>
              <w:t>4.77%</w:t>
            </w:r>
          </w:p>
        </w:tc>
      </w:tr>
      <w:tr>
        <w:trPr>
          <w:trHeight w:val="285" w:hRule="atLeast"/>
        </w:trPr>
        <w:tc>
          <w:tcPr>
            <w:tcW w:w="7288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07" w:lineRule="exact" w:before="57"/>
              <w:rPr>
                <w:b/>
                <w:sz w:val="18"/>
              </w:rPr>
            </w:pPr>
            <w:r>
              <w:rPr>
                <w:sz w:val="18"/>
              </w:rPr>
              <w:t>Federated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Hermes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Government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Obligations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Fund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Advisor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z w:val="18"/>
                <w:vertAlign w:val="superscript"/>
              </w:rPr>
              <w:t>7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b/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superscript"/>
              </w:rPr>
              <w:t>8,10,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4" w:lineRule="exact"/>
              <w:ind w:left="177"/>
              <w:rPr>
                <w:sz w:val="18"/>
              </w:rPr>
            </w:pPr>
            <w:r>
              <w:rPr>
                <w:sz w:val="18"/>
              </w:rPr>
              <w:t>GOVXX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5"/>
              <w:ind w:left="176"/>
              <w:rPr>
                <w:sz w:val="18"/>
              </w:rPr>
            </w:pPr>
            <w:r>
              <w:rPr>
                <w:sz w:val="18"/>
              </w:rPr>
              <w:t>4.77%</w:t>
            </w:r>
          </w:p>
        </w:tc>
      </w:tr>
      <w:tr>
        <w:trPr>
          <w:trHeight w:val="281" w:hRule="atLeast"/>
        </w:trPr>
        <w:tc>
          <w:tcPr>
            <w:tcW w:w="7288" w:type="dxa"/>
            <w:tcBorders>
              <w:bottom w:val="single" w:sz="2" w:space="0" w:color="F1F1F1"/>
              <w:right w:val="single" w:sz="4" w:space="0" w:color="CAC1B9"/>
            </w:tcBorders>
          </w:tcPr>
          <w:p>
            <w:pPr>
              <w:pStyle w:val="TableParagraph"/>
              <w:spacing w:line="200" w:lineRule="exact" w:before="60"/>
              <w:rPr>
                <w:b/>
                <w:sz w:val="18"/>
              </w:rPr>
            </w:pPr>
            <w:r>
              <w:rPr>
                <w:sz w:val="18"/>
              </w:rPr>
              <w:t>Federated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Hermes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Treasury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Obligations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Fund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Institutional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z w:val="18"/>
                <w:vertAlign w:val="superscript"/>
              </w:rPr>
              <w:t>7,</w:t>
            </w:r>
            <w:r>
              <w:rPr>
                <w:spacing w:val="-11"/>
                <w:sz w:val="18"/>
                <w:vertAlign w:val="baseline"/>
              </w:rPr>
              <w:t> </w:t>
            </w:r>
            <w:r>
              <w:rPr>
                <w:sz w:val="18"/>
                <w:vertAlign w:val="superscript"/>
              </w:rPr>
              <w:t>8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b/>
                <w:spacing w:val="-11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bottom w:val="single" w:sz="2" w:space="0" w:color="F1F1F1"/>
              <w:right w:val="single" w:sz="4" w:space="0" w:color="CAC1B9"/>
            </w:tcBorders>
          </w:tcPr>
          <w:p>
            <w:pPr>
              <w:pStyle w:val="TableParagraph"/>
              <w:spacing w:line="207" w:lineRule="exact" w:before="53"/>
              <w:ind w:left="177"/>
              <w:rPr>
                <w:sz w:val="18"/>
              </w:rPr>
            </w:pPr>
            <w:r>
              <w:rPr>
                <w:sz w:val="18"/>
              </w:rPr>
              <w:t>TOIXX</w:t>
            </w:r>
          </w:p>
        </w:tc>
        <w:tc>
          <w:tcPr>
            <w:tcW w:w="1895" w:type="dxa"/>
            <w:tcBorders>
              <w:left w:val="single" w:sz="4" w:space="0" w:color="CAC1B9"/>
              <w:bottom w:val="single" w:sz="4" w:space="0" w:color="F1F1F1"/>
            </w:tcBorders>
          </w:tcPr>
          <w:p>
            <w:pPr>
              <w:pStyle w:val="TableParagraph"/>
              <w:spacing w:before="38"/>
              <w:ind w:left="176"/>
              <w:rPr>
                <w:sz w:val="18"/>
              </w:rPr>
            </w:pPr>
            <w:r>
              <w:rPr>
                <w:sz w:val="18"/>
              </w:rPr>
              <w:t>4.70%</w:t>
            </w:r>
          </w:p>
        </w:tc>
      </w:tr>
      <w:tr>
        <w:trPr>
          <w:trHeight w:val="285" w:hRule="atLeast"/>
        </w:trPr>
        <w:tc>
          <w:tcPr>
            <w:tcW w:w="7288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07" w:lineRule="exact" w:before="5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Federated Hermes Treasury </w:t>
            </w:r>
            <w:r>
              <w:rPr>
                <w:sz w:val="18"/>
              </w:rPr>
              <w:t>Obligations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Fund ---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Premier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z w:val="18"/>
                <w:vertAlign w:val="superscript"/>
              </w:rPr>
              <w:t>7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b/>
                <w:spacing w:val="-13"/>
                <w:sz w:val="18"/>
                <w:vertAlign w:val="baseline"/>
              </w:rPr>
              <w:t> </w:t>
            </w:r>
            <w:r>
              <w:rPr>
                <w:sz w:val="18"/>
                <w:vertAlign w:val="superscript"/>
              </w:rPr>
              <w:t>8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sz w:val="18"/>
                <w:vertAlign w:val="superscript"/>
              </w:rPr>
              <w:t>10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b/>
                <w:spacing w:val="-12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4" w:lineRule="exact"/>
              <w:ind w:left="177"/>
              <w:rPr>
                <w:sz w:val="18"/>
              </w:rPr>
            </w:pPr>
            <w:r>
              <w:rPr>
                <w:sz w:val="18"/>
              </w:rPr>
              <w:t>TOPXX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5"/>
              <w:ind w:left="176"/>
              <w:rPr>
                <w:sz w:val="18"/>
              </w:rPr>
            </w:pPr>
            <w:r>
              <w:rPr>
                <w:sz w:val="18"/>
              </w:rPr>
              <w:t>4.74%</w:t>
            </w:r>
          </w:p>
        </w:tc>
      </w:tr>
      <w:tr>
        <w:trPr>
          <w:trHeight w:val="256" w:hRule="atLeast"/>
        </w:trPr>
        <w:tc>
          <w:tcPr>
            <w:tcW w:w="7288" w:type="dxa"/>
            <w:tcBorders>
              <w:top w:val="single" w:sz="6" w:space="0" w:color="F1F1F1"/>
              <w:bottom w:val="single" w:sz="6" w:space="0" w:color="F1F1F1"/>
              <w:right w:val="single" w:sz="4" w:space="0" w:color="CAC1B9"/>
            </w:tcBorders>
          </w:tcPr>
          <w:p>
            <w:pPr>
              <w:pStyle w:val="TableParagraph"/>
              <w:spacing w:line="190" w:lineRule="exact" w:before="45"/>
              <w:rPr>
                <w:b/>
                <w:sz w:val="18"/>
              </w:rPr>
            </w:pPr>
            <w:r>
              <w:rPr>
                <w:spacing w:val="-1"/>
                <w:w w:val="105"/>
                <w:sz w:val="18"/>
              </w:rPr>
              <w:t>Federated Hermes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U.S.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Treasury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Cash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Reserves ---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Institutional</w:t>
            </w:r>
            <w:r>
              <w:rPr>
                <w:w w:val="105"/>
                <w:sz w:val="18"/>
              </w:rPr>
              <w:t> Class</w:t>
            </w:r>
            <w:r>
              <w:rPr>
                <w:w w:val="105"/>
                <w:sz w:val="18"/>
                <w:vertAlign w:val="superscript"/>
              </w:rPr>
              <w:t>7</w:t>
            </w:r>
            <w:r>
              <w:rPr>
                <w:b/>
                <w:w w:val="105"/>
                <w:sz w:val="18"/>
                <w:vertAlign w:val="superscript"/>
              </w:rPr>
              <w:t>,</w:t>
            </w:r>
            <w:r>
              <w:rPr>
                <w:b/>
                <w:spacing w:val="-14"/>
                <w:w w:val="105"/>
                <w:sz w:val="18"/>
                <w:vertAlign w:val="baseline"/>
              </w:rPr>
              <w:t> </w:t>
            </w:r>
            <w:r>
              <w:rPr>
                <w:w w:val="105"/>
                <w:sz w:val="18"/>
                <w:vertAlign w:val="superscript"/>
              </w:rPr>
              <w:t>8</w:t>
            </w:r>
            <w:r>
              <w:rPr>
                <w:b/>
                <w:w w:val="105"/>
                <w:sz w:val="18"/>
                <w:vertAlign w:val="superscript"/>
              </w:rPr>
              <w:t>,</w:t>
            </w:r>
            <w:r>
              <w:rPr>
                <w:b/>
                <w:spacing w:val="-15"/>
                <w:w w:val="105"/>
                <w:sz w:val="18"/>
                <w:vertAlign w:val="baseline"/>
              </w:rPr>
              <w:t> </w:t>
            </w:r>
            <w:r>
              <w:rPr>
                <w:b/>
                <w:w w:val="105"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top w:val="single" w:sz="6" w:space="0" w:color="F1F1F1"/>
              <w:left w:val="single" w:sz="4" w:space="0" w:color="CAC1B9"/>
              <w:bottom w:val="single" w:sz="6" w:space="0" w:color="F1F1F1"/>
              <w:right w:val="single" w:sz="4" w:space="0" w:color="CAC1B9"/>
            </w:tcBorders>
          </w:tcPr>
          <w:p>
            <w:pPr>
              <w:pStyle w:val="TableParagraph"/>
              <w:spacing w:line="197" w:lineRule="exact" w:before="38"/>
              <w:ind w:left="177"/>
              <w:rPr>
                <w:sz w:val="18"/>
              </w:rPr>
            </w:pPr>
            <w:r>
              <w:rPr>
                <w:sz w:val="18"/>
              </w:rPr>
              <w:t>UTIXX</w:t>
            </w:r>
          </w:p>
        </w:tc>
        <w:tc>
          <w:tcPr>
            <w:tcW w:w="1895" w:type="dxa"/>
            <w:tcBorders>
              <w:top w:val="single" w:sz="8" w:space="0" w:color="F1F1F1"/>
              <w:left w:val="single" w:sz="4" w:space="0" w:color="CAC1B9"/>
              <w:bottom w:val="single" w:sz="8" w:space="0" w:color="F1F1F1"/>
            </w:tcBorders>
          </w:tcPr>
          <w:p>
            <w:pPr>
              <w:pStyle w:val="TableParagraph"/>
              <w:spacing w:line="212" w:lineRule="exact" w:before="23"/>
              <w:ind w:left="176"/>
              <w:rPr>
                <w:sz w:val="18"/>
              </w:rPr>
            </w:pPr>
            <w:r>
              <w:rPr>
                <w:sz w:val="18"/>
              </w:rPr>
              <w:t>4.65%</w:t>
            </w:r>
          </w:p>
        </w:tc>
      </w:tr>
      <w:tr>
        <w:trPr>
          <w:trHeight w:val="277" w:hRule="atLeast"/>
        </w:trPr>
        <w:tc>
          <w:tcPr>
            <w:tcW w:w="7288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00" w:lineRule="exact" w:before="5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Federated Hermes U.S. </w:t>
            </w:r>
            <w:r>
              <w:rPr>
                <w:sz w:val="18"/>
              </w:rPr>
              <w:t>Treasury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Reserves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Premier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z w:val="18"/>
                <w:vertAlign w:val="superscript"/>
              </w:rPr>
              <w:t>7,8,10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b/>
                <w:spacing w:val="-13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07" w:lineRule="exact"/>
              <w:ind w:left="177"/>
              <w:rPr>
                <w:sz w:val="18"/>
              </w:rPr>
            </w:pPr>
            <w:r>
              <w:rPr>
                <w:sz w:val="18"/>
              </w:rPr>
              <w:t>UTPXX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5"/>
              <w:ind w:left="176"/>
              <w:rPr>
                <w:sz w:val="18"/>
              </w:rPr>
            </w:pPr>
            <w:r>
              <w:rPr>
                <w:sz w:val="18"/>
              </w:rPr>
              <w:t>4.70%</w:t>
            </w:r>
          </w:p>
        </w:tc>
      </w:tr>
      <w:tr>
        <w:trPr>
          <w:trHeight w:val="286" w:hRule="atLeast"/>
        </w:trPr>
        <w:tc>
          <w:tcPr>
            <w:tcW w:w="10451" w:type="dxa"/>
            <w:gridSpan w:val="3"/>
            <w:tcBorders>
              <w:bottom w:val="single" w:sz="4" w:space="0" w:color="F1F1F1"/>
            </w:tcBorders>
            <w:shd w:val="clear" w:color="auto" w:fill="716F9B"/>
          </w:tcPr>
          <w:p>
            <w:pPr>
              <w:pStyle w:val="TableParagraph"/>
              <w:spacing w:line="214" w:lineRule="exact" w:before="51"/>
              <w:rPr>
                <w:sz w:val="18"/>
              </w:rPr>
            </w:pPr>
            <w:r>
              <w:rPr>
                <w:color w:val="FFFFFF"/>
                <w:sz w:val="18"/>
              </w:rPr>
              <w:t>Fidelity</w:t>
            </w:r>
            <w:r>
              <w:rPr>
                <w:color w:val="FFFFFF"/>
                <w:spacing w:val="8"/>
                <w:sz w:val="18"/>
              </w:rPr>
              <w:t> </w:t>
            </w:r>
            <w:r>
              <w:rPr>
                <w:color w:val="FFFFFF"/>
                <w:sz w:val="18"/>
              </w:rPr>
              <w:t>Investments®</w:t>
            </w:r>
            <w:r>
              <w:rPr>
                <w:color w:val="FFFFFF"/>
                <w:spacing w:val="9"/>
                <w:sz w:val="18"/>
              </w:rPr>
              <w:t> </w:t>
            </w:r>
            <w:r>
              <w:rPr>
                <w:color w:val="FFFFFF"/>
                <w:sz w:val="18"/>
              </w:rPr>
              <w:t>Funds</w:t>
            </w:r>
            <w:r>
              <w:rPr>
                <w:color w:val="FFFFFF"/>
                <w:spacing w:val="8"/>
                <w:sz w:val="18"/>
              </w:rPr>
              <w:t> </w:t>
            </w:r>
            <w:r>
              <w:rPr>
                <w:color w:val="FFFFFF"/>
                <w:sz w:val="18"/>
              </w:rPr>
              <w:t>(as</w:t>
            </w:r>
            <w:r>
              <w:rPr>
                <w:color w:val="FFFFFF"/>
                <w:spacing w:val="6"/>
                <w:sz w:val="18"/>
              </w:rPr>
              <w:t> </w:t>
            </w:r>
            <w:r>
              <w:rPr>
                <w:color w:val="FFFFFF"/>
                <w:sz w:val="18"/>
              </w:rPr>
              <w:t>of</w:t>
            </w:r>
            <w:r>
              <w:rPr>
                <w:color w:val="FFFFFF"/>
                <w:spacing w:val="6"/>
                <w:sz w:val="18"/>
              </w:rPr>
              <w:t> </w:t>
            </w:r>
            <w:r>
              <w:rPr>
                <w:color w:val="FFFFFF"/>
                <w:sz w:val="18"/>
              </w:rPr>
              <w:t>10/30/2024)</w:t>
            </w:r>
          </w:p>
        </w:tc>
      </w:tr>
      <w:tr>
        <w:trPr>
          <w:trHeight w:val="275" w:hRule="atLeast"/>
        </w:trPr>
        <w:tc>
          <w:tcPr>
            <w:tcW w:w="7288" w:type="dxa"/>
            <w:tcBorders>
              <w:top w:val="single" w:sz="2" w:space="0" w:color="F1F1F1"/>
              <w:bottom w:val="single" w:sz="2" w:space="0" w:color="F1F1F1"/>
              <w:right w:val="single" w:sz="4" w:space="0" w:color="CAC1B9"/>
            </w:tcBorders>
          </w:tcPr>
          <w:p>
            <w:pPr>
              <w:pStyle w:val="TableParagraph"/>
              <w:spacing w:line="200" w:lineRule="exact" w:before="54"/>
              <w:rPr>
                <w:b/>
                <w:sz w:val="18"/>
              </w:rPr>
            </w:pPr>
            <w:r>
              <w:rPr>
                <w:sz w:val="18"/>
              </w:rPr>
              <w:t>Fidelity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Investments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Money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Market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Government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Portfolio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z w:val="18"/>
                <w:vertAlign w:val="superscript"/>
              </w:rPr>
              <w:t>7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sz w:val="18"/>
                <w:vertAlign w:val="superscript"/>
              </w:rPr>
              <w:t>8,</w:t>
            </w:r>
            <w:r>
              <w:rPr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top w:val="single" w:sz="4" w:space="0" w:color="F1F1F1"/>
              <w:left w:val="single" w:sz="4" w:space="0" w:color="CAC1B9"/>
              <w:bottom w:val="single" w:sz="4" w:space="0" w:color="F1F1F1"/>
              <w:right w:val="single" w:sz="4" w:space="0" w:color="CAC1B9"/>
            </w:tcBorders>
          </w:tcPr>
          <w:p>
            <w:pPr>
              <w:pStyle w:val="TableParagraph"/>
              <w:spacing w:line="207" w:lineRule="exact" w:before="47"/>
              <w:ind w:left="177"/>
              <w:rPr>
                <w:sz w:val="18"/>
              </w:rPr>
            </w:pPr>
            <w:r>
              <w:rPr>
                <w:sz w:val="18"/>
              </w:rPr>
              <w:t>FIGXX</w:t>
            </w:r>
          </w:p>
        </w:tc>
        <w:tc>
          <w:tcPr>
            <w:tcW w:w="1895" w:type="dxa"/>
            <w:tcBorders>
              <w:top w:val="single" w:sz="4" w:space="0" w:color="F1F1F1"/>
              <w:left w:val="single" w:sz="4" w:space="0" w:color="CAC1B9"/>
              <w:bottom w:val="single" w:sz="4" w:space="0" w:color="F1F1F1"/>
            </w:tcBorders>
          </w:tcPr>
          <w:p>
            <w:pPr>
              <w:pStyle w:val="TableParagraph"/>
              <w:spacing w:before="32"/>
              <w:ind w:left="176"/>
              <w:rPr>
                <w:sz w:val="18"/>
              </w:rPr>
            </w:pPr>
            <w:r>
              <w:rPr>
                <w:sz w:val="18"/>
              </w:rPr>
              <w:t>4.70%</w:t>
            </w:r>
          </w:p>
        </w:tc>
      </w:tr>
      <w:tr>
        <w:trPr>
          <w:trHeight w:val="288" w:hRule="atLeast"/>
        </w:trPr>
        <w:tc>
          <w:tcPr>
            <w:tcW w:w="7288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1" w:lineRule="exact" w:before="5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Fidelity Investments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Money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Market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Government </w:t>
            </w:r>
            <w:r>
              <w:rPr>
                <w:sz w:val="18"/>
              </w:rPr>
              <w:t>Portfolio --- Institutional Class</w:t>
            </w:r>
            <w:r>
              <w:rPr>
                <w:sz w:val="18"/>
                <w:vertAlign w:val="superscript"/>
              </w:rPr>
              <w:t>7,8,10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b/>
                <w:spacing w:val="-13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8" w:lineRule="exact"/>
              <w:ind w:left="177"/>
              <w:rPr>
                <w:sz w:val="18"/>
              </w:rPr>
            </w:pPr>
            <w:r>
              <w:rPr>
                <w:sz w:val="18"/>
              </w:rPr>
              <w:t>FRGXX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5"/>
              <w:ind w:left="176"/>
              <w:rPr>
                <w:sz w:val="18"/>
              </w:rPr>
            </w:pPr>
            <w:r>
              <w:rPr>
                <w:sz w:val="18"/>
              </w:rPr>
              <w:t>4.74%</w:t>
            </w:r>
          </w:p>
        </w:tc>
      </w:tr>
      <w:tr>
        <w:trPr>
          <w:trHeight w:val="277" w:hRule="atLeast"/>
        </w:trPr>
        <w:tc>
          <w:tcPr>
            <w:tcW w:w="7288" w:type="dxa"/>
            <w:tcBorders>
              <w:bottom w:val="single" w:sz="2" w:space="0" w:color="F1F1F1"/>
              <w:right w:val="single" w:sz="4" w:space="0" w:color="CAC1B9"/>
            </w:tcBorders>
          </w:tcPr>
          <w:p>
            <w:pPr>
              <w:pStyle w:val="TableParagraph"/>
              <w:spacing w:line="200" w:lineRule="exact" w:before="57"/>
              <w:ind w:left="99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Fidelity Investments Money Market </w:t>
            </w:r>
            <w:r>
              <w:rPr>
                <w:sz w:val="18"/>
              </w:rPr>
              <w:t>Treasury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Portfolio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 I</w:t>
            </w:r>
            <w:r>
              <w:rPr>
                <w:sz w:val="18"/>
                <w:vertAlign w:val="superscript"/>
              </w:rPr>
              <w:t>7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sz w:val="18"/>
                <w:vertAlign w:val="superscript"/>
              </w:rPr>
              <w:t>8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b/>
                <w:spacing w:val="-13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bottom w:val="single" w:sz="4" w:space="0" w:color="F1F1F1"/>
              <w:right w:val="single" w:sz="4" w:space="0" w:color="CAC1B9"/>
            </w:tcBorders>
          </w:tcPr>
          <w:p>
            <w:pPr>
              <w:pStyle w:val="TableParagraph"/>
              <w:spacing w:line="207" w:lineRule="exact"/>
              <w:ind w:left="177"/>
              <w:rPr>
                <w:sz w:val="18"/>
              </w:rPr>
            </w:pPr>
            <w:r>
              <w:rPr>
                <w:sz w:val="18"/>
              </w:rPr>
              <w:t>FISXX</w:t>
            </w:r>
          </w:p>
        </w:tc>
        <w:tc>
          <w:tcPr>
            <w:tcW w:w="1895" w:type="dxa"/>
            <w:tcBorders>
              <w:left w:val="single" w:sz="4" w:space="0" w:color="CAC1B9"/>
              <w:bottom w:val="single" w:sz="4" w:space="0" w:color="F1F1F1"/>
            </w:tcBorders>
          </w:tcPr>
          <w:p>
            <w:pPr>
              <w:pStyle w:val="TableParagraph"/>
              <w:spacing w:before="35"/>
              <w:ind w:left="176"/>
              <w:rPr>
                <w:sz w:val="18"/>
              </w:rPr>
            </w:pPr>
            <w:r>
              <w:rPr>
                <w:sz w:val="18"/>
              </w:rPr>
              <w:t>4.69%</w:t>
            </w:r>
          </w:p>
        </w:tc>
      </w:tr>
      <w:tr>
        <w:trPr>
          <w:trHeight w:val="288" w:hRule="atLeast"/>
        </w:trPr>
        <w:tc>
          <w:tcPr>
            <w:tcW w:w="7288" w:type="dxa"/>
            <w:tcBorders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1" w:lineRule="exact" w:before="57"/>
              <w:ind w:left="99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Fidelity Investments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Money Market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Treasury </w:t>
            </w:r>
            <w:r>
              <w:rPr>
                <w:sz w:val="18"/>
              </w:rPr>
              <w:t>Portfolio --- Institutional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z w:val="18"/>
                <w:vertAlign w:val="superscript"/>
              </w:rPr>
              <w:t>7,8,10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b/>
                <w:spacing w:val="-12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8" w:lineRule="exact"/>
              <w:ind w:left="177"/>
              <w:rPr>
                <w:sz w:val="18"/>
              </w:rPr>
            </w:pPr>
            <w:r>
              <w:rPr>
                <w:sz w:val="18"/>
              </w:rPr>
              <w:t>FRBXX</w:t>
            </w:r>
          </w:p>
        </w:tc>
        <w:tc>
          <w:tcPr>
            <w:tcW w:w="1895" w:type="dxa"/>
            <w:tcBorders>
              <w:lef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before="35"/>
              <w:ind w:left="176"/>
              <w:rPr>
                <w:sz w:val="18"/>
              </w:rPr>
            </w:pPr>
            <w:r>
              <w:rPr>
                <w:sz w:val="18"/>
              </w:rPr>
              <w:t>4.73%</w:t>
            </w:r>
          </w:p>
        </w:tc>
      </w:tr>
      <w:tr>
        <w:trPr>
          <w:trHeight w:val="277" w:hRule="atLeast"/>
        </w:trPr>
        <w:tc>
          <w:tcPr>
            <w:tcW w:w="7288" w:type="dxa"/>
            <w:tcBorders>
              <w:bottom w:val="single" w:sz="2" w:space="0" w:color="F1F1F1"/>
              <w:right w:val="single" w:sz="4" w:space="0" w:color="CAC1B9"/>
            </w:tcBorders>
          </w:tcPr>
          <w:p>
            <w:pPr>
              <w:pStyle w:val="TableParagraph"/>
              <w:spacing w:line="200" w:lineRule="exact" w:before="57"/>
              <w:ind w:left="99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Fidelity Investments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Money Market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Treasury </w:t>
            </w:r>
            <w:r>
              <w:rPr>
                <w:sz w:val="18"/>
              </w:rPr>
              <w:t>Only Portfolio ---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 I</w:t>
            </w:r>
            <w:r>
              <w:rPr>
                <w:sz w:val="18"/>
                <w:vertAlign w:val="superscript"/>
              </w:rPr>
              <w:t>7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sz w:val="18"/>
                <w:vertAlign w:val="superscript"/>
              </w:rPr>
              <w:t>8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b/>
                <w:spacing w:val="-13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bottom w:val="single" w:sz="4" w:space="0" w:color="F1F1F1"/>
              <w:right w:val="single" w:sz="4" w:space="0" w:color="CAC1B9"/>
            </w:tcBorders>
          </w:tcPr>
          <w:p>
            <w:pPr>
              <w:pStyle w:val="TableParagraph"/>
              <w:spacing w:line="207" w:lineRule="exact"/>
              <w:ind w:left="177"/>
              <w:rPr>
                <w:sz w:val="18"/>
              </w:rPr>
            </w:pPr>
            <w:r>
              <w:rPr>
                <w:sz w:val="18"/>
              </w:rPr>
              <w:t>FSIXX</w:t>
            </w:r>
          </w:p>
        </w:tc>
        <w:tc>
          <w:tcPr>
            <w:tcW w:w="1895" w:type="dxa"/>
            <w:tcBorders>
              <w:left w:val="single" w:sz="4" w:space="0" w:color="CAC1B9"/>
              <w:bottom w:val="single" w:sz="4" w:space="0" w:color="F1F1F1"/>
            </w:tcBorders>
          </w:tcPr>
          <w:p>
            <w:pPr>
              <w:pStyle w:val="TableParagraph"/>
              <w:spacing w:before="35"/>
              <w:ind w:left="176"/>
              <w:rPr>
                <w:sz w:val="18"/>
              </w:rPr>
            </w:pPr>
            <w:r>
              <w:rPr>
                <w:sz w:val="18"/>
              </w:rPr>
              <w:t>4.67%</w:t>
            </w:r>
          </w:p>
        </w:tc>
      </w:tr>
      <w:tr>
        <w:trPr>
          <w:trHeight w:val="283" w:hRule="atLeast"/>
        </w:trPr>
        <w:tc>
          <w:tcPr>
            <w:tcW w:w="7288" w:type="dxa"/>
            <w:tcBorders>
              <w:bottom w:val="single" w:sz="4" w:space="0" w:color="000000"/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05" w:lineRule="exact" w:before="57"/>
              <w:ind w:left="99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Fidelity Investments Money Market Treasury </w:t>
            </w:r>
            <w:r>
              <w:rPr>
                <w:sz w:val="18"/>
              </w:rPr>
              <w:t>Only Portfolio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Institutional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z w:val="18"/>
                <w:vertAlign w:val="superscript"/>
              </w:rPr>
              <w:t>7,8,10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b/>
                <w:spacing w:val="-13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</w:t>
            </w:r>
          </w:p>
        </w:tc>
        <w:tc>
          <w:tcPr>
            <w:tcW w:w="1268" w:type="dxa"/>
            <w:tcBorders>
              <w:left w:val="single" w:sz="4" w:space="0" w:color="CAC1B9"/>
              <w:bottom w:val="single" w:sz="4" w:space="0" w:color="000000"/>
              <w:right w:val="single" w:sz="4" w:space="0" w:color="CAC1B9"/>
            </w:tcBorders>
            <w:shd w:val="clear" w:color="auto" w:fill="F1F1F1"/>
          </w:tcPr>
          <w:p>
            <w:pPr>
              <w:pStyle w:val="TableParagraph"/>
              <w:spacing w:line="212" w:lineRule="exact"/>
              <w:ind w:left="177"/>
              <w:rPr>
                <w:sz w:val="18"/>
              </w:rPr>
            </w:pPr>
            <w:r>
              <w:rPr>
                <w:sz w:val="18"/>
              </w:rPr>
              <w:t>FRSXX</w:t>
            </w:r>
          </w:p>
        </w:tc>
        <w:tc>
          <w:tcPr>
            <w:tcW w:w="1895" w:type="dxa"/>
            <w:tcBorders>
              <w:left w:val="single" w:sz="4" w:space="0" w:color="CAC1B9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5"/>
              <w:ind w:left="176"/>
              <w:rPr>
                <w:sz w:val="18"/>
              </w:rPr>
            </w:pPr>
            <w:r>
              <w:rPr>
                <w:sz w:val="18"/>
              </w:rPr>
              <w:t>4.71%</w:t>
            </w:r>
          </w:p>
        </w:tc>
      </w:tr>
    </w:tbl>
    <w:p>
      <w:pPr>
        <w:spacing w:before="123"/>
        <w:ind w:left="785" w:right="0" w:firstLine="0"/>
        <w:jc w:val="left"/>
        <w:rPr>
          <w:sz w:val="16"/>
        </w:rPr>
      </w:pPr>
      <w:r>
        <w:rPr>
          <w:w w:val="85"/>
          <w:sz w:val="16"/>
          <w:vertAlign w:val="superscript"/>
        </w:rPr>
        <w:t>7</w:t>
      </w:r>
      <w:r>
        <w:rPr>
          <w:w w:val="85"/>
          <w:sz w:val="16"/>
          <w:vertAlign w:val="baseline"/>
        </w:rPr>
        <w:t>$1.00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minimum</w:t>
      </w:r>
      <w:r>
        <w:rPr>
          <w:spacing w:val="19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initial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investment.</w:t>
      </w:r>
    </w:p>
    <w:p>
      <w:pPr>
        <w:spacing w:before="35"/>
        <w:ind w:left="785" w:right="0" w:firstLine="0"/>
        <w:jc w:val="left"/>
        <w:rPr>
          <w:sz w:val="16"/>
        </w:rPr>
      </w:pPr>
      <w:r>
        <w:rPr>
          <w:w w:val="85"/>
          <w:sz w:val="16"/>
          <w:vertAlign w:val="superscript"/>
        </w:rPr>
        <w:t>8</w:t>
      </w:r>
      <w:r>
        <w:rPr>
          <w:spacing w:val="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This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is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non-sweep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fund</w:t>
      </w:r>
      <w:r>
        <w:rPr>
          <w:spacing w:val="20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-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an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order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must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be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entered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for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all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transactions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(purchases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and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sales).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Please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contact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your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representative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for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additional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information.</w:t>
      </w:r>
    </w:p>
    <w:p>
      <w:pPr>
        <w:spacing w:before="35"/>
        <w:ind w:left="885" w:right="4652" w:hanging="101"/>
        <w:jc w:val="left"/>
        <w:rPr>
          <w:sz w:val="16"/>
        </w:rPr>
      </w:pPr>
      <w:r>
        <w:rPr>
          <w:w w:val="85"/>
          <w:sz w:val="16"/>
          <w:vertAlign w:val="superscript"/>
        </w:rPr>
        <w:t>9</w:t>
      </w:r>
      <w:r>
        <w:rPr>
          <w:w w:val="85"/>
          <w:sz w:val="16"/>
          <w:vertAlign w:val="baseline"/>
        </w:rPr>
        <w:t>Only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available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Trust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Management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Accounts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(TMA)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and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certain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Retirement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Cash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Management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Accounts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(RCMA).</w:t>
      </w:r>
      <w:r>
        <w:rPr>
          <w:spacing w:val="1"/>
          <w:w w:val="85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Please</w:t>
      </w:r>
      <w:r>
        <w:rPr>
          <w:spacing w:val="-3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review</w:t>
      </w:r>
      <w:r>
        <w:rPr>
          <w:spacing w:val="-2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the</w:t>
      </w:r>
      <w:r>
        <w:rPr>
          <w:spacing w:val="-2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Client</w:t>
      </w:r>
      <w:r>
        <w:rPr>
          <w:spacing w:val="-3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Agreement</w:t>
      </w:r>
      <w:r>
        <w:rPr>
          <w:spacing w:val="-2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or</w:t>
      </w:r>
      <w:r>
        <w:rPr>
          <w:spacing w:val="-2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contact</w:t>
      </w:r>
      <w:r>
        <w:rPr>
          <w:spacing w:val="-3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your</w:t>
      </w:r>
      <w:r>
        <w:rPr>
          <w:spacing w:val="-2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representative</w:t>
      </w:r>
      <w:r>
        <w:rPr>
          <w:spacing w:val="-2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to</w:t>
      </w:r>
      <w:r>
        <w:rPr>
          <w:spacing w:val="-2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confirm</w:t>
      </w:r>
      <w:r>
        <w:rPr>
          <w:spacing w:val="-3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availability.</w:t>
      </w:r>
    </w:p>
    <w:p>
      <w:pPr>
        <w:spacing w:before="34"/>
        <w:ind w:left="785" w:right="0" w:firstLine="0"/>
        <w:jc w:val="left"/>
        <w:rPr>
          <w:sz w:val="16"/>
        </w:rPr>
      </w:pPr>
      <w:r>
        <w:rPr>
          <w:w w:val="85"/>
          <w:sz w:val="16"/>
          <w:vertAlign w:val="superscript"/>
        </w:rPr>
        <w:t>10</w:t>
      </w:r>
      <w:r>
        <w:rPr>
          <w:w w:val="85"/>
          <w:sz w:val="16"/>
          <w:vertAlign w:val="baseline"/>
        </w:rPr>
        <w:t>Only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available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for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eligible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accounts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enrolled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an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investment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advisory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program.</w:t>
      </w:r>
    </w:p>
    <w:p>
      <w:pPr>
        <w:pStyle w:val="BodyText"/>
        <w:spacing w:before="11"/>
        <w:rPr>
          <w:sz w:val="15"/>
        </w:rPr>
      </w:pPr>
    </w:p>
    <w:p>
      <w:pPr>
        <w:spacing w:before="1"/>
        <w:ind w:left="814" w:right="0" w:firstLine="0"/>
        <w:jc w:val="left"/>
        <w:rPr>
          <w:sz w:val="16"/>
        </w:rPr>
      </w:pPr>
      <w:r>
        <w:rPr>
          <w:w w:val="85"/>
          <w:sz w:val="16"/>
        </w:rPr>
        <w:t>Please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see</w:t>
      </w:r>
      <w:r>
        <w:rPr>
          <w:spacing w:val="15"/>
          <w:w w:val="85"/>
          <w:sz w:val="16"/>
        </w:rPr>
        <w:t> </w:t>
      </w:r>
      <w:r>
        <w:rPr>
          <w:w w:val="85"/>
          <w:sz w:val="16"/>
        </w:rPr>
        <w:t>page</w:t>
      </w:r>
      <w:r>
        <w:rPr>
          <w:spacing w:val="15"/>
          <w:w w:val="85"/>
          <w:sz w:val="16"/>
        </w:rPr>
        <w:t> </w:t>
      </w:r>
      <w:r>
        <w:rPr>
          <w:w w:val="85"/>
          <w:sz w:val="16"/>
        </w:rPr>
        <w:t>4</w:t>
      </w:r>
      <w:r>
        <w:rPr>
          <w:spacing w:val="15"/>
          <w:w w:val="85"/>
          <w:sz w:val="16"/>
        </w:rPr>
        <w:t> </w:t>
      </w:r>
      <w:r>
        <w:rPr>
          <w:w w:val="85"/>
          <w:sz w:val="16"/>
        </w:rPr>
        <w:t>for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additional</w:t>
      </w:r>
      <w:r>
        <w:rPr>
          <w:spacing w:val="12"/>
          <w:w w:val="85"/>
          <w:sz w:val="16"/>
        </w:rPr>
        <w:t> </w:t>
      </w:r>
      <w:r>
        <w:rPr>
          <w:w w:val="85"/>
          <w:sz w:val="16"/>
        </w:rPr>
        <w:t>important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information,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including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Money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Market</w:t>
      </w:r>
      <w:r>
        <w:rPr>
          <w:spacing w:val="13"/>
          <w:w w:val="85"/>
          <w:sz w:val="16"/>
        </w:rPr>
        <w:t> </w:t>
      </w:r>
      <w:r>
        <w:rPr>
          <w:w w:val="85"/>
          <w:sz w:val="16"/>
        </w:rPr>
        <w:t>Fund</w:t>
      </w:r>
      <w:r>
        <w:rPr>
          <w:spacing w:val="15"/>
          <w:w w:val="85"/>
          <w:sz w:val="16"/>
        </w:rPr>
        <w:t> </w:t>
      </w:r>
      <w:r>
        <w:rPr>
          <w:w w:val="85"/>
          <w:sz w:val="16"/>
        </w:rPr>
        <w:t>disclosures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associated</w:t>
      </w:r>
      <w:r>
        <w:rPr>
          <w:spacing w:val="15"/>
          <w:w w:val="85"/>
          <w:sz w:val="16"/>
        </w:rPr>
        <w:t> </w:t>
      </w:r>
      <w:r>
        <w:rPr>
          <w:w w:val="85"/>
          <w:sz w:val="16"/>
        </w:rPr>
        <w:t>with</w:t>
      </w:r>
      <w:r>
        <w:rPr>
          <w:spacing w:val="14"/>
          <w:w w:val="85"/>
          <w:sz w:val="16"/>
        </w:rPr>
        <w:t> </w:t>
      </w:r>
      <w:r>
        <w:rPr>
          <w:w w:val="85"/>
          <w:sz w:val="16"/>
        </w:rPr>
        <w:t>the</w:t>
      </w:r>
      <w:r>
        <w:rPr>
          <w:spacing w:val="15"/>
          <w:w w:val="85"/>
          <w:sz w:val="16"/>
        </w:rPr>
        <w:t> </w:t>
      </w:r>
      <w:r>
        <w:rPr>
          <w:w w:val="85"/>
          <w:sz w:val="16"/>
        </w:rPr>
        <w:t>footnotes</w:t>
      </w:r>
      <w:r>
        <w:rPr>
          <w:spacing w:val="27"/>
          <w:w w:val="85"/>
          <w:sz w:val="16"/>
        </w:rPr>
        <w:t> </w:t>
      </w:r>
      <w:r>
        <w:rPr>
          <w:w w:val="85"/>
          <w:sz w:val="16"/>
        </w:rPr>
        <w:t>*and</w:t>
      </w:r>
      <w:r>
        <w:rPr>
          <w:spacing w:val="15"/>
          <w:w w:val="85"/>
          <w:sz w:val="16"/>
        </w:rPr>
        <w:t> </w:t>
      </w:r>
      <w:r>
        <w:rPr>
          <w:w w:val="85"/>
          <w:sz w:val="16"/>
        </w:rPr>
        <w:t>**.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4"/>
        <w:gridCol w:w="896"/>
        <w:gridCol w:w="1984"/>
        <w:gridCol w:w="1721"/>
      </w:tblGrid>
      <w:tr>
        <w:trPr>
          <w:trHeight w:val="878" w:hRule="atLeast"/>
        </w:trPr>
        <w:tc>
          <w:tcPr>
            <w:tcW w:w="6114" w:type="dxa"/>
            <w:tcBorders>
              <w:right w:val="single" w:sz="4" w:space="0" w:color="FFFFFF"/>
            </w:tcBorders>
            <w:shd w:val="clear" w:color="auto" w:fill="191F55"/>
          </w:tcPr>
          <w:p>
            <w:pPr>
              <w:pStyle w:val="TableParagraph"/>
              <w:spacing w:before="3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Tax-Exempt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Money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Market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Mutual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Funds</w:t>
            </w:r>
          </w:p>
        </w:tc>
        <w:tc>
          <w:tcPr>
            <w:tcW w:w="89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191F55"/>
          </w:tcPr>
          <w:p>
            <w:pPr>
              <w:pStyle w:val="TableParagraph"/>
              <w:spacing w:before="31"/>
              <w:ind w:left="9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Symbol</w:t>
            </w:r>
          </w:p>
        </w:tc>
        <w:tc>
          <w:tcPr>
            <w:tcW w:w="198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191F55"/>
          </w:tcPr>
          <w:p>
            <w:pPr>
              <w:pStyle w:val="TableParagraph"/>
              <w:spacing w:before="31"/>
              <w:ind w:left="176" w:right="371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sz w:val="18"/>
              </w:rPr>
              <w:t>Taxable </w:t>
            </w:r>
            <w:r>
              <w:rPr>
                <w:b/>
                <w:color w:val="FFFFFF"/>
                <w:sz w:val="18"/>
              </w:rPr>
              <w:t>Equivalent</w:t>
            </w:r>
            <w:r>
              <w:rPr>
                <w:b/>
                <w:color w:val="FFFFFF"/>
                <w:spacing w:val="-3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Yield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@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37.0%</w:t>
            </w:r>
          </w:p>
          <w:p>
            <w:pPr>
              <w:pStyle w:val="TableParagraph"/>
              <w:spacing w:before="30"/>
              <w:ind w:left="17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Tax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Rate</w:t>
            </w:r>
          </w:p>
        </w:tc>
        <w:tc>
          <w:tcPr>
            <w:tcW w:w="1721" w:type="dxa"/>
            <w:tcBorders>
              <w:left w:val="single" w:sz="4" w:space="0" w:color="FFFFFF"/>
            </w:tcBorders>
            <w:shd w:val="clear" w:color="auto" w:fill="191F55"/>
          </w:tcPr>
          <w:p>
            <w:pPr>
              <w:pStyle w:val="TableParagraph"/>
              <w:spacing w:before="31"/>
              <w:ind w:left="8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Seven-Day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Yield</w:t>
            </w:r>
          </w:p>
        </w:tc>
      </w:tr>
    </w:tbl>
    <w:p>
      <w:pPr>
        <w:spacing w:after="0"/>
        <w:rPr>
          <w:sz w:val="18"/>
        </w:rPr>
        <w:sectPr>
          <w:footerReference w:type="default" r:id="rId8"/>
          <w:pgSz w:w="12240" w:h="15840"/>
          <w:pgMar w:footer="522" w:header="0" w:top="900" w:bottom="720" w:left="0" w:right="0"/>
          <w:pgNumType w:start="2"/>
        </w:sectPr>
      </w:pPr>
    </w:p>
    <w:tbl>
      <w:tblPr>
        <w:tblW w:w="0" w:type="auto"/>
        <w:jc w:val="left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4"/>
        <w:gridCol w:w="896"/>
        <w:gridCol w:w="1984"/>
        <w:gridCol w:w="1721"/>
      </w:tblGrid>
      <w:tr>
        <w:trPr>
          <w:trHeight w:val="286" w:hRule="atLeast"/>
        </w:trPr>
        <w:tc>
          <w:tcPr>
            <w:tcW w:w="10715" w:type="dxa"/>
            <w:gridSpan w:val="4"/>
            <w:shd w:val="clear" w:color="auto" w:fill="716F9B"/>
          </w:tcPr>
          <w:p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FFFFFF"/>
                <w:sz w:val="18"/>
              </w:rPr>
              <w:t>BlackRock®</w:t>
            </w:r>
            <w:r>
              <w:rPr>
                <w:color w:val="FFFFFF"/>
                <w:spacing w:val="-6"/>
                <w:sz w:val="18"/>
              </w:rPr>
              <w:t> </w:t>
            </w:r>
            <w:r>
              <w:rPr>
                <w:color w:val="FFFFFF"/>
                <w:sz w:val="18"/>
              </w:rPr>
              <w:t>Funds</w:t>
            </w:r>
            <w:r>
              <w:rPr>
                <w:color w:val="FFFFFF"/>
                <w:spacing w:val="-4"/>
                <w:sz w:val="18"/>
              </w:rPr>
              <w:t> </w:t>
            </w:r>
            <w:r>
              <w:rPr>
                <w:color w:val="FFFFFF"/>
                <w:sz w:val="18"/>
              </w:rPr>
              <w:t>(as</w:t>
            </w:r>
            <w:r>
              <w:rPr>
                <w:color w:val="FFFFFF"/>
                <w:spacing w:val="-5"/>
                <w:sz w:val="18"/>
              </w:rPr>
              <w:t> </w:t>
            </w:r>
            <w:r>
              <w:rPr>
                <w:color w:val="FFFFFF"/>
                <w:sz w:val="18"/>
              </w:rPr>
              <w:t>of</w:t>
            </w:r>
            <w:r>
              <w:rPr>
                <w:color w:val="FFFFFF"/>
                <w:spacing w:val="-5"/>
                <w:sz w:val="18"/>
              </w:rPr>
              <w:t> </w:t>
            </w:r>
            <w:r>
              <w:rPr>
                <w:color w:val="FFFFFF"/>
                <w:sz w:val="18"/>
              </w:rPr>
              <w:t>10/30/2024)</w:t>
            </w:r>
          </w:p>
        </w:tc>
      </w:tr>
      <w:tr>
        <w:trPr>
          <w:trHeight w:val="289" w:hRule="atLeast"/>
        </w:trPr>
        <w:tc>
          <w:tcPr>
            <w:tcW w:w="6114" w:type="dxa"/>
            <w:tcBorders>
              <w:right w:val="single" w:sz="6" w:space="0" w:color="C8BFB7"/>
            </w:tcBorders>
          </w:tcPr>
          <w:p>
            <w:pPr>
              <w:pStyle w:val="TableParagraph"/>
              <w:spacing w:line="208" w:lineRule="exact" w:before="60"/>
              <w:rPr>
                <w:b/>
                <w:sz w:val="18"/>
              </w:rPr>
            </w:pPr>
            <w:r>
              <w:rPr>
                <w:spacing w:val="-1"/>
                <w:w w:val="105"/>
                <w:sz w:val="18"/>
              </w:rPr>
              <w:t>BlackRock Liquidity Funds: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MuniCash --- Institutional</w:t>
            </w:r>
            <w:r>
              <w:rPr>
                <w:w w:val="105"/>
                <w:sz w:val="18"/>
              </w:rPr>
              <w:t> Class</w:t>
            </w:r>
            <w:r>
              <w:rPr>
                <w:w w:val="105"/>
                <w:sz w:val="18"/>
                <w:vertAlign w:val="superscript"/>
              </w:rPr>
              <w:t>7,8</w:t>
            </w:r>
            <w:r>
              <w:rPr>
                <w:b/>
                <w:w w:val="105"/>
                <w:sz w:val="18"/>
                <w:vertAlign w:val="superscript"/>
              </w:rPr>
              <w:t>,</w:t>
            </w:r>
            <w:r>
              <w:rPr>
                <w:b/>
                <w:spacing w:val="-15"/>
                <w:w w:val="105"/>
                <w:sz w:val="18"/>
                <w:vertAlign w:val="baseline"/>
              </w:rPr>
              <w:t> </w:t>
            </w:r>
            <w:r>
              <w:rPr>
                <w:b/>
                <w:w w:val="105"/>
                <w:sz w:val="18"/>
                <w:vertAlign w:val="baseline"/>
              </w:rPr>
              <w:t>**</w:t>
            </w:r>
          </w:p>
        </w:tc>
        <w:tc>
          <w:tcPr>
            <w:tcW w:w="896" w:type="dxa"/>
            <w:tcBorders>
              <w:left w:val="single" w:sz="6" w:space="0" w:color="C8BFB7"/>
              <w:right w:val="single" w:sz="6" w:space="0" w:color="C8BFB7"/>
            </w:tcBorders>
          </w:tcPr>
          <w:p>
            <w:pPr>
              <w:pStyle w:val="TableParagraph"/>
              <w:spacing w:line="216" w:lineRule="exact" w:before="52"/>
              <w:ind w:left="83"/>
              <w:rPr>
                <w:sz w:val="18"/>
              </w:rPr>
            </w:pPr>
            <w:r>
              <w:rPr>
                <w:sz w:val="18"/>
              </w:rPr>
              <w:t>MCSXX</w:t>
            </w:r>
          </w:p>
        </w:tc>
        <w:tc>
          <w:tcPr>
            <w:tcW w:w="1984" w:type="dxa"/>
            <w:tcBorders>
              <w:left w:val="single" w:sz="6" w:space="0" w:color="C8BFB7"/>
              <w:right w:val="single" w:sz="6" w:space="0" w:color="C8BFB7"/>
            </w:tcBorders>
          </w:tcPr>
          <w:p>
            <w:pPr>
              <w:pStyle w:val="TableParagraph"/>
              <w:spacing w:before="38"/>
              <w:ind w:left="173"/>
              <w:rPr>
                <w:sz w:val="18"/>
              </w:rPr>
            </w:pPr>
            <w:r>
              <w:rPr>
                <w:sz w:val="18"/>
              </w:rPr>
              <w:t>5.10%</w:t>
            </w:r>
          </w:p>
        </w:tc>
        <w:tc>
          <w:tcPr>
            <w:tcW w:w="1721" w:type="dxa"/>
            <w:tcBorders>
              <w:left w:val="single" w:sz="6" w:space="0" w:color="C8BFB7"/>
            </w:tcBorders>
          </w:tcPr>
          <w:p>
            <w:pPr>
              <w:pStyle w:val="TableParagraph"/>
              <w:spacing w:before="38"/>
              <w:ind w:left="83"/>
              <w:rPr>
                <w:sz w:val="18"/>
              </w:rPr>
            </w:pPr>
            <w:r>
              <w:rPr>
                <w:sz w:val="18"/>
              </w:rPr>
              <w:t>3.21%</w:t>
            </w:r>
          </w:p>
        </w:tc>
      </w:tr>
      <w:tr>
        <w:trPr>
          <w:trHeight w:val="286" w:hRule="atLeast"/>
        </w:trPr>
        <w:tc>
          <w:tcPr>
            <w:tcW w:w="10715" w:type="dxa"/>
            <w:gridSpan w:val="4"/>
            <w:shd w:val="clear" w:color="auto" w:fill="716F9B"/>
          </w:tcPr>
          <w:p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Federated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Hermes®</w:t>
            </w:r>
            <w:r>
              <w:rPr>
                <w:color w:val="FFFFFF"/>
                <w:spacing w:val="-4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Funds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(as</w:t>
            </w:r>
            <w:r>
              <w:rPr>
                <w:color w:val="FFFFFF"/>
                <w:spacing w:val="-5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of</w:t>
            </w:r>
            <w:r>
              <w:rPr>
                <w:color w:val="FFFFFF"/>
                <w:spacing w:val="-4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10/30/2024)</w:t>
            </w:r>
          </w:p>
        </w:tc>
      </w:tr>
      <w:tr>
        <w:trPr>
          <w:trHeight w:val="289" w:hRule="atLeast"/>
        </w:trPr>
        <w:tc>
          <w:tcPr>
            <w:tcW w:w="6114" w:type="dxa"/>
            <w:tcBorders>
              <w:right w:val="single" w:sz="6" w:space="0" w:color="C8BFB7"/>
            </w:tcBorders>
          </w:tcPr>
          <w:p>
            <w:pPr>
              <w:pStyle w:val="TableParagraph"/>
              <w:spacing w:line="208" w:lineRule="exact" w:before="60"/>
              <w:rPr>
                <w:b/>
                <w:sz w:val="18"/>
              </w:rPr>
            </w:pPr>
            <w:r>
              <w:rPr>
                <w:color w:val="010102"/>
                <w:sz w:val="18"/>
              </w:rPr>
              <w:t>Federated</w:t>
            </w:r>
            <w:r>
              <w:rPr>
                <w:color w:val="010102"/>
                <w:spacing w:val="13"/>
                <w:sz w:val="18"/>
              </w:rPr>
              <w:t> </w:t>
            </w:r>
            <w:r>
              <w:rPr>
                <w:color w:val="010102"/>
                <w:sz w:val="18"/>
              </w:rPr>
              <w:t>Hermes</w:t>
            </w:r>
            <w:r>
              <w:rPr>
                <w:color w:val="010102"/>
                <w:spacing w:val="14"/>
                <w:sz w:val="18"/>
              </w:rPr>
              <w:t> </w:t>
            </w:r>
            <w:r>
              <w:rPr>
                <w:color w:val="010102"/>
                <w:sz w:val="18"/>
              </w:rPr>
              <w:t>Institutional</w:t>
            </w:r>
            <w:r>
              <w:rPr>
                <w:color w:val="010102"/>
                <w:spacing w:val="14"/>
                <w:sz w:val="18"/>
              </w:rPr>
              <w:t> </w:t>
            </w:r>
            <w:r>
              <w:rPr>
                <w:color w:val="010102"/>
                <w:sz w:val="18"/>
              </w:rPr>
              <w:t>Tax-Free</w:t>
            </w:r>
            <w:r>
              <w:rPr>
                <w:color w:val="010102"/>
                <w:spacing w:val="14"/>
                <w:sz w:val="18"/>
              </w:rPr>
              <w:t> </w:t>
            </w:r>
            <w:r>
              <w:rPr>
                <w:color w:val="010102"/>
                <w:sz w:val="18"/>
              </w:rPr>
              <w:t>Cash</w:t>
            </w:r>
            <w:r>
              <w:rPr>
                <w:color w:val="010102"/>
                <w:spacing w:val="14"/>
                <w:sz w:val="18"/>
              </w:rPr>
              <w:t> </w:t>
            </w:r>
            <w:r>
              <w:rPr>
                <w:color w:val="010102"/>
                <w:sz w:val="18"/>
              </w:rPr>
              <w:t>Trust</w:t>
            </w:r>
            <w:r>
              <w:rPr>
                <w:color w:val="010102"/>
                <w:spacing w:val="22"/>
                <w:sz w:val="18"/>
              </w:rPr>
              <w:t> </w:t>
            </w:r>
            <w:r>
              <w:rPr>
                <w:sz w:val="18"/>
              </w:rPr>
              <w:t>---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Institutional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z w:val="18"/>
                <w:vertAlign w:val="superscript"/>
              </w:rPr>
              <w:t>7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sz w:val="18"/>
                <w:vertAlign w:val="superscript"/>
              </w:rPr>
              <w:t>8</w:t>
            </w:r>
            <w:r>
              <w:rPr>
                <w:b/>
                <w:sz w:val="18"/>
                <w:vertAlign w:val="superscript"/>
              </w:rPr>
              <w:t>,</w:t>
            </w:r>
            <w:r>
              <w:rPr>
                <w:b/>
                <w:spacing w:val="-4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**</w:t>
            </w:r>
          </w:p>
        </w:tc>
        <w:tc>
          <w:tcPr>
            <w:tcW w:w="896" w:type="dxa"/>
            <w:tcBorders>
              <w:left w:val="single" w:sz="6" w:space="0" w:color="C8BFB7"/>
              <w:right w:val="single" w:sz="6" w:space="0" w:color="C8BFB7"/>
            </w:tcBorders>
          </w:tcPr>
          <w:p>
            <w:pPr>
              <w:pStyle w:val="TableParagraph"/>
              <w:spacing w:line="216" w:lineRule="exact" w:before="52"/>
              <w:ind w:left="83"/>
              <w:rPr>
                <w:sz w:val="18"/>
              </w:rPr>
            </w:pPr>
            <w:r>
              <w:rPr>
                <w:sz w:val="18"/>
              </w:rPr>
              <w:t>FFTXX</w:t>
            </w:r>
          </w:p>
        </w:tc>
        <w:tc>
          <w:tcPr>
            <w:tcW w:w="1984" w:type="dxa"/>
            <w:tcBorders>
              <w:left w:val="single" w:sz="6" w:space="0" w:color="C8BFB7"/>
              <w:right w:val="single" w:sz="6" w:space="0" w:color="C8BFB7"/>
            </w:tcBorders>
          </w:tcPr>
          <w:p>
            <w:pPr>
              <w:pStyle w:val="TableParagraph"/>
              <w:spacing w:before="38"/>
              <w:ind w:left="173"/>
              <w:rPr>
                <w:sz w:val="18"/>
              </w:rPr>
            </w:pPr>
            <w:r>
              <w:rPr>
                <w:sz w:val="18"/>
              </w:rPr>
              <w:t>5.35%</w:t>
            </w:r>
          </w:p>
        </w:tc>
        <w:tc>
          <w:tcPr>
            <w:tcW w:w="1721" w:type="dxa"/>
            <w:tcBorders>
              <w:left w:val="single" w:sz="6" w:space="0" w:color="C8BFB7"/>
            </w:tcBorders>
          </w:tcPr>
          <w:p>
            <w:pPr>
              <w:pStyle w:val="TableParagraph"/>
              <w:spacing w:before="38"/>
              <w:ind w:left="83"/>
              <w:rPr>
                <w:sz w:val="18"/>
              </w:rPr>
            </w:pPr>
            <w:r>
              <w:rPr>
                <w:sz w:val="18"/>
              </w:rPr>
              <w:t>3.37%</w:t>
            </w:r>
          </w:p>
        </w:tc>
      </w:tr>
      <w:tr>
        <w:trPr>
          <w:trHeight w:val="287" w:hRule="atLeast"/>
        </w:trPr>
        <w:tc>
          <w:tcPr>
            <w:tcW w:w="6114" w:type="dxa"/>
            <w:tcBorders>
              <w:bottom w:val="single" w:sz="4" w:space="0" w:color="000000"/>
              <w:right w:val="single" w:sz="6" w:space="0" w:color="C8BFB7"/>
            </w:tcBorders>
            <w:shd w:val="clear" w:color="auto" w:fill="F1F1F1"/>
          </w:tcPr>
          <w:p>
            <w:pPr>
              <w:pStyle w:val="TableParagraph"/>
              <w:spacing w:line="208" w:lineRule="exact" w:before="59"/>
              <w:rPr>
                <w:b/>
                <w:sz w:val="18"/>
              </w:rPr>
            </w:pPr>
            <w:r>
              <w:rPr>
                <w:color w:val="010102"/>
                <w:spacing w:val="-1"/>
                <w:w w:val="105"/>
                <w:sz w:val="18"/>
              </w:rPr>
              <w:t>Federated Hermes Institutional Tax-Free</w:t>
            </w:r>
            <w:r>
              <w:rPr>
                <w:color w:val="010102"/>
                <w:w w:val="105"/>
                <w:sz w:val="18"/>
              </w:rPr>
              <w:t> </w:t>
            </w:r>
            <w:r>
              <w:rPr>
                <w:color w:val="010102"/>
                <w:spacing w:val="-1"/>
                <w:w w:val="105"/>
                <w:sz w:val="18"/>
              </w:rPr>
              <w:t>Cash Trust --- Premier</w:t>
            </w:r>
            <w:r>
              <w:rPr>
                <w:color w:val="010102"/>
                <w:w w:val="105"/>
                <w:sz w:val="18"/>
              </w:rPr>
              <w:t> Class</w:t>
            </w:r>
            <w:r>
              <w:rPr>
                <w:color w:val="010102"/>
                <w:w w:val="105"/>
                <w:sz w:val="18"/>
                <w:vertAlign w:val="superscript"/>
              </w:rPr>
              <w:t>7</w:t>
            </w:r>
            <w:r>
              <w:rPr>
                <w:b/>
                <w:color w:val="010102"/>
                <w:w w:val="105"/>
                <w:sz w:val="18"/>
                <w:vertAlign w:val="superscript"/>
              </w:rPr>
              <w:t>,</w:t>
            </w:r>
            <w:r>
              <w:rPr>
                <w:color w:val="010102"/>
                <w:w w:val="105"/>
                <w:sz w:val="18"/>
                <w:vertAlign w:val="superscript"/>
              </w:rPr>
              <w:t>8,10,</w:t>
            </w:r>
            <w:r>
              <w:rPr>
                <w:color w:val="010102"/>
                <w:spacing w:val="-15"/>
                <w:w w:val="105"/>
                <w:sz w:val="18"/>
                <w:vertAlign w:val="baseline"/>
              </w:rPr>
              <w:t> </w:t>
            </w:r>
            <w:r>
              <w:rPr>
                <w:b/>
                <w:color w:val="010102"/>
                <w:w w:val="105"/>
                <w:sz w:val="18"/>
                <w:vertAlign w:val="baseline"/>
              </w:rPr>
              <w:t>*</w:t>
            </w:r>
            <w:r>
              <w:rPr>
                <w:b/>
                <w:w w:val="105"/>
                <w:sz w:val="18"/>
                <w:vertAlign w:val="baseline"/>
              </w:rPr>
              <w:t>*</w:t>
            </w:r>
          </w:p>
        </w:tc>
        <w:tc>
          <w:tcPr>
            <w:tcW w:w="896" w:type="dxa"/>
            <w:tcBorders>
              <w:left w:val="single" w:sz="6" w:space="0" w:color="C8BFB7"/>
              <w:bottom w:val="single" w:sz="4" w:space="0" w:color="000000"/>
              <w:right w:val="single" w:sz="6" w:space="0" w:color="C8BFB7"/>
            </w:tcBorders>
            <w:shd w:val="clear" w:color="auto" w:fill="F1F1F1"/>
          </w:tcPr>
          <w:p>
            <w:pPr>
              <w:pStyle w:val="TableParagraph"/>
              <w:spacing w:line="216" w:lineRule="exact" w:before="51"/>
              <w:ind w:left="83"/>
              <w:rPr>
                <w:sz w:val="18"/>
              </w:rPr>
            </w:pPr>
            <w:r>
              <w:rPr>
                <w:sz w:val="18"/>
              </w:rPr>
              <w:t>FTFXX</w:t>
            </w:r>
          </w:p>
        </w:tc>
        <w:tc>
          <w:tcPr>
            <w:tcW w:w="1984" w:type="dxa"/>
            <w:tcBorders>
              <w:left w:val="single" w:sz="6" w:space="0" w:color="C8BFB7"/>
              <w:bottom w:val="single" w:sz="4" w:space="0" w:color="000000"/>
              <w:right w:val="single" w:sz="6" w:space="0" w:color="C8BFB7"/>
            </w:tcBorders>
            <w:shd w:val="clear" w:color="auto" w:fill="F1F1F1"/>
          </w:tcPr>
          <w:p>
            <w:pPr>
              <w:pStyle w:val="TableParagraph"/>
              <w:spacing w:before="37"/>
              <w:ind w:left="173"/>
              <w:rPr>
                <w:sz w:val="18"/>
              </w:rPr>
            </w:pPr>
            <w:r>
              <w:rPr>
                <w:sz w:val="18"/>
              </w:rPr>
              <w:t>5.43%</w:t>
            </w:r>
          </w:p>
        </w:tc>
        <w:tc>
          <w:tcPr>
            <w:tcW w:w="1721" w:type="dxa"/>
            <w:tcBorders>
              <w:left w:val="single" w:sz="6" w:space="0" w:color="C8BFB7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7"/>
              <w:ind w:left="83"/>
              <w:rPr>
                <w:sz w:val="18"/>
              </w:rPr>
            </w:pPr>
            <w:r>
              <w:rPr>
                <w:sz w:val="18"/>
              </w:rPr>
              <w:t>3.42%</w:t>
            </w:r>
          </w:p>
        </w:tc>
      </w:tr>
    </w:tbl>
    <w:p>
      <w:pPr>
        <w:spacing w:before="37"/>
        <w:ind w:left="731" w:right="0" w:firstLine="0"/>
        <w:jc w:val="left"/>
        <w:rPr>
          <w:sz w:val="16"/>
        </w:rPr>
      </w:pPr>
      <w:r>
        <w:rPr>
          <w:w w:val="85"/>
          <w:sz w:val="16"/>
          <w:vertAlign w:val="superscript"/>
        </w:rPr>
        <w:t>7</w:t>
      </w:r>
      <w:r>
        <w:rPr>
          <w:w w:val="85"/>
          <w:sz w:val="16"/>
          <w:vertAlign w:val="baseline"/>
        </w:rPr>
        <w:t>$1.00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minimum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initial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investment.</w:t>
      </w:r>
    </w:p>
    <w:p>
      <w:pPr>
        <w:spacing w:before="35"/>
        <w:ind w:left="731" w:right="0" w:firstLine="0"/>
        <w:jc w:val="left"/>
        <w:rPr>
          <w:sz w:val="16"/>
        </w:rPr>
      </w:pPr>
      <w:r>
        <w:rPr>
          <w:w w:val="85"/>
          <w:sz w:val="16"/>
          <w:vertAlign w:val="superscript"/>
        </w:rPr>
        <w:t>8</w:t>
      </w:r>
      <w:r>
        <w:rPr>
          <w:spacing w:val="11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This</w:t>
      </w:r>
      <w:r>
        <w:rPr>
          <w:spacing w:val="14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is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non-sweep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fund</w:t>
      </w:r>
      <w:r>
        <w:rPr>
          <w:spacing w:val="19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-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an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order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must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be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entered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for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all</w:t>
      </w:r>
      <w:r>
        <w:rPr>
          <w:spacing w:val="11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transactions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(purchases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and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sales).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Please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contact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your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representative</w:t>
      </w:r>
      <w:r>
        <w:rPr>
          <w:spacing w:val="13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for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additional</w:t>
      </w:r>
      <w:r>
        <w:rPr>
          <w:spacing w:val="12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information.</w:t>
      </w:r>
    </w:p>
    <w:p>
      <w:pPr>
        <w:spacing w:before="35"/>
        <w:ind w:left="822" w:right="4652" w:hanging="91"/>
        <w:jc w:val="left"/>
        <w:rPr>
          <w:sz w:val="16"/>
        </w:rPr>
      </w:pPr>
      <w:r>
        <w:rPr>
          <w:w w:val="85"/>
          <w:sz w:val="16"/>
          <w:vertAlign w:val="superscript"/>
        </w:rPr>
        <w:t>9</w:t>
      </w:r>
      <w:r>
        <w:rPr>
          <w:w w:val="85"/>
          <w:sz w:val="16"/>
          <w:vertAlign w:val="baseline"/>
        </w:rPr>
        <w:t>Only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available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Trust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Management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Accounts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(TMA)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and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certain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Retirement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Cash</w:t>
      </w:r>
      <w:r>
        <w:rPr>
          <w:spacing w:val="18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Management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Accounts</w:t>
      </w:r>
      <w:r>
        <w:rPr>
          <w:spacing w:val="17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(RCMA).</w:t>
      </w:r>
      <w:r>
        <w:rPr>
          <w:spacing w:val="1"/>
          <w:w w:val="85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Please</w:t>
      </w:r>
      <w:r>
        <w:rPr>
          <w:spacing w:val="-3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review</w:t>
      </w:r>
      <w:r>
        <w:rPr>
          <w:spacing w:val="-2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the</w:t>
      </w:r>
      <w:r>
        <w:rPr>
          <w:spacing w:val="-2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Client</w:t>
      </w:r>
      <w:r>
        <w:rPr>
          <w:spacing w:val="-3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Agreement</w:t>
      </w:r>
      <w:r>
        <w:rPr>
          <w:spacing w:val="-2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or</w:t>
      </w:r>
      <w:r>
        <w:rPr>
          <w:spacing w:val="-2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contact</w:t>
      </w:r>
      <w:r>
        <w:rPr>
          <w:spacing w:val="-2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your</w:t>
      </w:r>
      <w:r>
        <w:rPr>
          <w:spacing w:val="-3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representative</w:t>
      </w:r>
      <w:r>
        <w:rPr>
          <w:spacing w:val="-2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to</w:t>
      </w:r>
      <w:r>
        <w:rPr>
          <w:spacing w:val="-2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confirm</w:t>
      </w:r>
      <w:r>
        <w:rPr>
          <w:spacing w:val="-3"/>
          <w:w w:val="90"/>
          <w:sz w:val="16"/>
          <w:vertAlign w:val="baseline"/>
        </w:rPr>
        <w:t> </w:t>
      </w:r>
      <w:r>
        <w:rPr>
          <w:w w:val="90"/>
          <w:sz w:val="16"/>
          <w:vertAlign w:val="baseline"/>
        </w:rPr>
        <w:t>availability.</w:t>
      </w:r>
    </w:p>
    <w:p>
      <w:pPr>
        <w:spacing w:before="34"/>
        <w:ind w:left="731" w:right="0" w:firstLine="0"/>
        <w:jc w:val="left"/>
        <w:rPr>
          <w:sz w:val="16"/>
        </w:rPr>
      </w:pPr>
      <w:r>
        <w:rPr>
          <w:w w:val="85"/>
          <w:sz w:val="16"/>
          <w:vertAlign w:val="superscript"/>
        </w:rPr>
        <w:t>10</w:t>
      </w:r>
      <w:r>
        <w:rPr>
          <w:w w:val="85"/>
          <w:sz w:val="16"/>
          <w:vertAlign w:val="baseline"/>
        </w:rPr>
        <w:t>Only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available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for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eligible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accounts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enrolled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</w:t>
      </w:r>
      <w:r>
        <w:rPr>
          <w:spacing w:val="15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an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investment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advisory</w:t>
      </w:r>
      <w:r>
        <w:rPr>
          <w:spacing w:val="16"/>
          <w:w w:val="85"/>
          <w:sz w:val="16"/>
          <w:vertAlign w:val="baseline"/>
        </w:rPr>
        <w:t> </w:t>
      </w:r>
      <w:r>
        <w:rPr>
          <w:w w:val="85"/>
          <w:sz w:val="16"/>
          <w:vertAlign w:val="baseline"/>
        </w:rPr>
        <w:t>program.</w:t>
      </w:r>
    </w:p>
    <w:p>
      <w:pPr>
        <w:pStyle w:val="BodyText"/>
        <w:spacing w:before="11"/>
        <w:rPr>
          <w:sz w:val="15"/>
        </w:rPr>
      </w:pPr>
    </w:p>
    <w:p>
      <w:pPr>
        <w:spacing w:before="1"/>
        <w:ind w:left="731" w:right="0" w:firstLine="0"/>
        <w:jc w:val="left"/>
        <w:rPr>
          <w:sz w:val="16"/>
        </w:rPr>
      </w:pPr>
      <w:r>
        <w:rPr>
          <w:w w:val="90"/>
          <w:sz w:val="16"/>
        </w:rPr>
        <w:t>Please</w:t>
      </w:r>
      <w:r>
        <w:rPr>
          <w:spacing w:val="14"/>
          <w:w w:val="90"/>
          <w:sz w:val="16"/>
        </w:rPr>
        <w:t> </w:t>
      </w:r>
      <w:r>
        <w:rPr>
          <w:w w:val="90"/>
          <w:sz w:val="16"/>
        </w:rPr>
        <w:t>see</w:t>
      </w:r>
      <w:r>
        <w:rPr>
          <w:spacing w:val="14"/>
          <w:w w:val="90"/>
          <w:sz w:val="16"/>
        </w:rPr>
        <w:t> </w:t>
      </w:r>
      <w:r>
        <w:rPr>
          <w:w w:val="90"/>
          <w:sz w:val="16"/>
        </w:rPr>
        <w:t>page</w:t>
      </w:r>
      <w:r>
        <w:rPr>
          <w:spacing w:val="14"/>
          <w:w w:val="90"/>
          <w:sz w:val="16"/>
        </w:rPr>
        <w:t> </w:t>
      </w:r>
      <w:r>
        <w:rPr>
          <w:w w:val="90"/>
          <w:sz w:val="16"/>
        </w:rPr>
        <w:t>4</w:t>
      </w:r>
      <w:r>
        <w:rPr>
          <w:spacing w:val="14"/>
          <w:w w:val="90"/>
          <w:sz w:val="16"/>
        </w:rPr>
        <w:t> </w:t>
      </w:r>
      <w:r>
        <w:rPr>
          <w:w w:val="90"/>
          <w:sz w:val="16"/>
        </w:rPr>
        <w:t>for</w:t>
      </w:r>
      <w:r>
        <w:rPr>
          <w:spacing w:val="14"/>
          <w:w w:val="90"/>
          <w:sz w:val="16"/>
        </w:rPr>
        <w:t> </w:t>
      </w:r>
      <w:r>
        <w:rPr>
          <w:w w:val="90"/>
          <w:sz w:val="16"/>
        </w:rPr>
        <w:t>additional</w:t>
      </w:r>
      <w:r>
        <w:rPr>
          <w:spacing w:val="14"/>
          <w:w w:val="90"/>
          <w:sz w:val="16"/>
        </w:rPr>
        <w:t> </w:t>
      </w:r>
      <w:r>
        <w:rPr>
          <w:w w:val="90"/>
          <w:sz w:val="16"/>
        </w:rPr>
        <w:t>important</w:t>
      </w:r>
      <w:r>
        <w:rPr>
          <w:spacing w:val="14"/>
          <w:w w:val="90"/>
          <w:sz w:val="16"/>
        </w:rPr>
        <w:t> </w:t>
      </w:r>
      <w:r>
        <w:rPr>
          <w:w w:val="90"/>
          <w:sz w:val="16"/>
        </w:rPr>
        <w:t>information,</w:t>
      </w:r>
      <w:r>
        <w:rPr>
          <w:spacing w:val="26"/>
          <w:w w:val="90"/>
          <w:sz w:val="16"/>
        </w:rPr>
        <w:t> </w:t>
      </w:r>
      <w:r>
        <w:rPr>
          <w:w w:val="90"/>
          <w:sz w:val="16"/>
        </w:rPr>
        <w:t>including</w:t>
      </w:r>
      <w:r>
        <w:rPr>
          <w:spacing w:val="11"/>
          <w:w w:val="90"/>
          <w:sz w:val="16"/>
        </w:rPr>
        <w:t> </w:t>
      </w:r>
      <w:r>
        <w:rPr>
          <w:w w:val="90"/>
          <w:sz w:val="16"/>
        </w:rPr>
        <w:t>Money</w:t>
      </w:r>
      <w:r>
        <w:rPr>
          <w:spacing w:val="12"/>
          <w:w w:val="90"/>
          <w:sz w:val="16"/>
        </w:rPr>
        <w:t> </w:t>
      </w:r>
      <w:r>
        <w:rPr>
          <w:w w:val="90"/>
          <w:sz w:val="16"/>
        </w:rPr>
        <w:t>Market</w:t>
      </w:r>
      <w:r>
        <w:rPr>
          <w:spacing w:val="11"/>
          <w:w w:val="90"/>
          <w:sz w:val="16"/>
        </w:rPr>
        <w:t> </w:t>
      </w:r>
      <w:r>
        <w:rPr>
          <w:w w:val="90"/>
          <w:sz w:val="16"/>
        </w:rPr>
        <w:t>Fund</w:t>
      </w:r>
      <w:r>
        <w:rPr>
          <w:spacing w:val="13"/>
          <w:w w:val="90"/>
          <w:sz w:val="16"/>
        </w:rPr>
        <w:t> </w:t>
      </w:r>
      <w:r>
        <w:rPr>
          <w:w w:val="90"/>
          <w:sz w:val="16"/>
        </w:rPr>
        <w:t>disclosure</w:t>
      </w:r>
      <w:r>
        <w:rPr>
          <w:spacing w:val="13"/>
          <w:w w:val="90"/>
          <w:sz w:val="16"/>
        </w:rPr>
        <w:t> </w:t>
      </w:r>
      <w:r>
        <w:rPr>
          <w:w w:val="90"/>
          <w:sz w:val="16"/>
        </w:rPr>
        <w:t>associated</w:t>
      </w:r>
      <w:r>
        <w:rPr>
          <w:spacing w:val="13"/>
          <w:w w:val="90"/>
          <w:sz w:val="16"/>
        </w:rPr>
        <w:t> </w:t>
      </w:r>
      <w:r>
        <w:rPr>
          <w:w w:val="90"/>
          <w:sz w:val="16"/>
        </w:rPr>
        <w:t>with</w:t>
      </w:r>
      <w:r>
        <w:rPr>
          <w:spacing w:val="12"/>
          <w:w w:val="90"/>
          <w:sz w:val="16"/>
        </w:rPr>
        <w:t> </w:t>
      </w:r>
      <w:r>
        <w:rPr>
          <w:w w:val="90"/>
          <w:sz w:val="16"/>
        </w:rPr>
        <w:t>the</w:t>
      </w:r>
      <w:r>
        <w:rPr>
          <w:spacing w:val="13"/>
          <w:w w:val="90"/>
          <w:sz w:val="16"/>
        </w:rPr>
        <w:t> </w:t>
      </w:r>
      <w:r>
        <w:rPr>
          <w:w w:val="90"/>
          <w:sz w:val="16"/>
        </w:rPr>
        <w:t>footnote</w:t>
      </w:r>
      <w:r>
        <w:rPr>
          <w:spacing w:val="29"/>
          <w:w w:val="90"/>
          <w:sz w:val="16"/>
        </w:rPr>
        <w:t> </w:t>
      </w:r>
      <w:r>
        <w:rPr>
          <w:w w:val="90"/>
          <w:sz w:val="16"/>
        </w:rPr>
        <w:t>**.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pStyle w:val="Heading1"/>
      </w:pPr>
      <w:bookmarkStart w:name="Important Information" w:id="2"/>
      <w:bookmarkEnd w:id="2"/>
      <w:r>
        <w:rPr>
          <w:b w:val="0"/>
        </w:rPr>
      </w:r>
      <w:r>
        <w:rPr>
          <w:color w:val="191F55"/>
          <w:spacing w:val="-1"/>
        </w:rPr>
        <w:t>Important</w:t>
      </w:r>
      <w:r>
        <w:rPr>
          <w:color w:val="191F55"/>
        </w:rPr>
        <w:t> </w:t>
      </w:r>
      <w:r>
        <w:rPr>
          <w:color w:val="191F55"/>
          <w:spacing w:val="-1"/>
        </w:rPr>
        <w:t>Information</w:t>
      </w:r>
    </w:p>
    <w:p>
      <w:pPr>
        <w:pStyle w:val="BodyText"/>
        <w:spacing w:before="86"/>
        <w:ind w:left="717"/>
      </w:pPr>
      <w:bookmarkStart w:name="This rate sheet does not constitute a re" w:id="3"/>
      <w:bookmarkEnd w:id="3"/>
      <w:r>
        <w:rPr/>
      </w:r>
      <w:r>
        <w:rPr/>
        <w:t>This</w:t>
      </w:r>
      <w:r>
        <w:rPr>
          <w:spacing w:val="-6"/>
        </w:rPr>
        <w:t> </w:t>
      </w:r>
      <w:r>
        <w:rPr/>
        <w:t>rate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constitute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recommendation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solicitation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Merrill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purchase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sale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product.</w:t>
      </w:r>
    </w:p>
    <w:p>
      <w:pPr>
        <w:pStyle w:val="BodyText"/>
        <w:spacing w:before="1"/>
        <w:ind w:left="722"/>
      </w:pPr>
      <w:r>
        <w:rPr/>
        <w:t>The</w:t>
      </w:r>
      <w:r>
        <w:rPr>
          <w:spacing w:val="-5"/>
        </w:rPr>
        <w:t> </w:t>
      </w:r>
      <w:r>
        <w:rPr/>
        <w:t>availability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bank</w:t>
      </w:r>
      <w:r>
        <w:rPr>
          <w:spacing w:val="-4"/>
        </w:rPr>
        <w:t> </w:t>
      </w:r>
      <w:r>
        <w:rPr/>
        <w:t>deposits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money</w:t>
      </w:r>
      <w:r>
        <w:rPr>
          <w:spacing w:val="-4"/>
        </w:rPr>
        <w:t> </w:t>
      </w:r>
      <w:r>
        <w:rPr/>
        <w:t>market</w:t>
      </w:r>
      <w:r>
        <w:rPr>
          <w:spacing w:val="-4"/>
        </w:rPr>
        <w:t> </w:t>
      </w:r>
      <w:r>
        <w:rPr/>
        <w:t>mutual</w:t>
      </w:r>
      <w:r>
        <w:rPr>
          <w:spacing w:val="-4"/>
        </w:rPr>
        <w:t> </w:t>
      </w:r>
      <w:r>
        <w:rPr/>
        <w:t>funds</w:t>
      </w:r>
      <w:r>
        <w:rPr>
          <w:spacing w:val="-5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rate</w:t>
      </w:r>
      <w:r>
        <w:rPr>
          <w:spacing w:val="-4"/>
        </w:rPr>
        <w:t> </w:t>
      </w:r>
      <w:r>
        <w:rPr/>
        <w:t>sheet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account</w:t>
      </w:r>
      <w:r>
        <w:rPr>
          <w:spacing w:val="-4"/>
        </w:rPr>
        <w:t> </w:t>
      </w:r>
      <w:r>
        <w:rPr/>
        <w:t>type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depend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eligibility</w:t>
      </w:r>
    </w:p>
    <w:p>
      <w:pPr>
        <w:spacing w:after="0"/>
        <w:sectPr>
          <w:pgSz w:w="12240" w:h="15840"/>
          <w:pgMar w:header="0" w:footer="522" w:top="940" w:bottom="720" w:left="0" w:right="0"/>
        </w:sectPr>
      </w:pPr>
    </w:p>
    <w:p>
      <w:pPr>
        <w:pStyle w:val="BodyText"/>
        <w:spacing w:before="44"/>
        <w:ind w:left="722"/>
      </w:pPr>
      <w:r>
        <w:rPr/>
        <w:t>criteria.</w:t>
      </w:r>
    </w:p>
    <w:p>
      <w:pPr>
        <w:pStyle w:val="BodyText"/>
        <w:spacing w:before="63"/>
        <w:ind w:left="722" w:right="442"/>
      </w:pPr>
      <w:r>
        <w:rPr/>
        <w:t>There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assurance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trades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Money</w:t>
      </w:r>
      <w:r>
        <w:rPr>
          <w:spacing w:val="-5"/>
        </w:rPr>
        <w:t> </w:t>
      </w:r>
      <w:r>
        <w:rPr/>
        <w:t>Market</w:t>
      </w:r>
      <w:r>
        <w:rPr>
          <w:spacing w:val="-4"/>
        </w:rPr>
        <w:t> </w:t>
      </w:r>
      <w:r>
        <w:rPr/>
        <w:t>Mutual</w:t>
      </w:r>
      <w:r>
        <w:rPr>
          <w:spacing w:val="-5"/>
        </w:rPr>
        <w:t> </w:t>
      </w:r>
      <w:r>
        <w:rPr/>
        <w:t>Funds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deposits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Bank</w:t>
      </w:r>
      <w:r>
        <w:rPr>
          <w:spacing w:val="-4"/>
        </w:rPr>
        <w:t> </w:t>
      </w:r>
      <w:r>
        <w:rPr/>
        <w:t>Deposits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completed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obtain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yields.</w:t>
      </w:r>
      <w:r>
        <w:rPr>
          <w:spacing w:val="-4"/>
        </w:rPr>
        <w:t> </w:t>
      </w:r>
      <w:r>
        <w:rPr/>
        <w:t>Yields</w:t>
      </w:r>
      <w:r>
        <w:rPr>
          <w:spacing w:val="-5"/>
        </w:rPr>
        <w:t> </w:t>
      </w:r>
      <w:r>
        <w:rPr/>
        <w:t>shown</w:t>
      </w:r>
      <w:r>
        <w:rPr>
          <w:spacing w:val="-5"/>
        </w:rPr>
        <w:t> </w:t>
      </w:r>
      <w:r>
        <w:rPr/>
        <w:t>are</w:t>
      </w:r>
      <w:r>
        <w:rPr>
          <w:spacing w:val="1"/>
        </w:rPr>
        <w:t> </w:t>
      </w:r>
      <w:r>
        <w:rPr/>
        <w:t>indicative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recent</w:t>
      </w:r>
      <w:r>
        <w:rPr>
          <w:spacing w:val="-2"/>
        </w:rPr>
        <w:t> </w:t>
      </w:r>
      <w:r>
        <w:rPr/>
        <w:t>yields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dates</w:t>
      </w:r>
      <w:r>
        <w:rPr>
          <w:spacing w:val="-1"/>
        </w:rPr>
        <w:t> </w:t>
      </w:r>
      <w:r>
        <w:rPr/>
        <w:t>shown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availability.</w:t>
      </w:r>
    </w:p>
    <w:p>
      <w:pPr>
        <w:pStyle w:val="BodyText"/>
        <w:spacing w:before="64"/>
        <w:ind w:left="722"/>
      </w:pPr>
      <w:r>
        <w:rPr/>
        <w:t>The</w:t>
      </w:r>
      <w:r>
        <w:rPr>
          <w:spacing w:val="-6"/>
        </w:rPr>
        <w:t> </w:t>
      </w:r>
      <w:r>
        <w:rPr/>
        <w:t>short-term</w:t>
      </w:r>
      <w:r>
        <w:rPr>
          <w:spacing w:val="-6"/>
        </w:rPr>
        <w:t> </w:t>
      </w:r>
      <w:r>
        <w:rPr/>
        <w:t>bank</w:t>
      </w:r>
      <w:r>
        <w:rPr>
          <w:spacing w:val="-7"/>
        </w:rPr>
        <w:t> </w:t>
      </w:r>
      <w:r>
        <w:rPr/>
        <w:t>deposit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investment</w:t>
      </w:r>
      <w:r>
        <w:rPr>
          <w:spacing w:val="-6"/>
        </w:rPr>
        <w:t> </w:t>
      </w:r>
      <w:r>
        <w:rPr/>
        <w:t>solutions</w:t>
      </w:r>
      <w:r>
        <w:rPr>
          <w:spacing w:val="-6"/>
        </w:rPr>
        <w:t> </w:t>
      </w:r>
      <w:r>
        <w:rPr/>
        <w:t>shown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comprehensive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other,</w:t>
      </w:r>
      <w:r>
        <w:rPr>
          <w:spacing w:val="-6"/>
        </w:rPr>
        <w:t> </w:t>
      </w:r>
      <w:r>
        <w:rPr/>
        <w:t>similar</w:t>
      </w:r>
      <w:r>
        <w:rPr>
          <w:spacing w:val="-6"/>
        </w:rPr>
        <w:t> </w:t>
      </w:r>
      <w:r>
        <w:rPr/>
        <w:t>solutions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available.</w:t>
      </w:r>
    </w:p>
    <w:p>
      <w:pPr>
        <w:pStyle w:val="Heading1"/>
        <w:spacing w:before="64"/>
      </w:pPr>
      <w:bookmarkStart w:name="Bank Deposits" w:id="4"/>
      <w:bookmarkEnd w:id="4"/>
      <w:r>
        <w:rPr>
          <w:b w:val="0"/>
        </w:rPr>
      </w:r>
      <w:r>
        <w:rPr>
          <w:color w:val="191F55"/>
          <w:spacing w:val="-1"/>
        </w:rPr>
        <w:t>Bank</w:t>
      </w:r>
      <w:r>
        <w:rPr>
          <w:color w:val="191F55"/>
          <w:spacing w:val="-8"/>
        </w:rPr>
        <w:t> </w:t>
      </w:r>
      <w:r>
        <w:rPr>
          <w:color w:val="191F55"/>
        </w:rPr>
        <w:t>Deposits</w:t>
      </w:r>
    </w:p>
    <w:p>
      <w:pPr>
        <w:pStyle w:val="BodyText"/>
        <w:spacing w:before="86"/>
        <w:ind w:left="721" w:right="795"/>
      </w:pPr>
      <w:r>
        <w:rPr/>
        <w:t>Annual</w:t>
      </w:r>
      <w:r>
        <w:rPr>
          <w:spacing w:val="-5"/>
        </w:rPr>
        <w:t> </w:t>
      </w:r>
      <w:r>
        <w:rPr/>
        <w:t>Percentage</w:t>
      </w:r>
      <w:r>
        <w:rPr>
          <w:spacing w:val="-5"/>
        </w:rPr>
        <w:t> </w:t>
      </w:r>
      <w:r>
        <w:rPr/>
        <w:t>Yield</w:t>
      </w:r>
      <w:r>
        <w:rPr>
          <w:spacing w:val="-5"/>
        </w:rPr>
        <w:t> </w:t>
      </w:r>
      <w:r>
        <w:rPr/>
        <w:t>(‘‘APY’’)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bank</w:t>
      </w:r>
      <w:r>
        <w:rPr>
          <w:spacing w:val="-5"/>
        </w:rPr>
        <w:t> </w:t>
      </w:r>
      <w:r>
        <w:rPr/>
        <w:t>deposit</w:t>
      </w:r>
      <w:r>
        <w:rPr>
          <w:spacing w:val="-5"/>
        </w:rPr>
        <w:t> </w:t>
      </w:r>
      <w:r>
        <w:rPr/>
        <w:t>account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rate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daily</w:t>
      </w:r>
      <w:r>
        <w:rPr>
          <w:spacing w:val="-5"/>
        </w:rPr>
        <w:t> </w:t>
      </w:r>
      <w:r>
        <w:rPr/>
        <w:t>compounding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assumes</w:t>
      </w:r>
      <w:r>
        <w:rPr>
          <w:spacing w:val="-5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withdrawn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deposit account and no change to the interest rate for one year. Note that the interest rate (and APY) may change at any time, at the depository bank’s</w:t>
      </w:r>
      <w:r>
        <w:rPr>
          <w:spacing w:val="1"/>
        </w:rPr>
        <w:t> </w:t>
      </w:r>
      <w:r>
        <w:rPr/>
        <w:t>discretion, after the deposit account is opened. The depository bank uses the daily balance method to calculate interest on your deposit account, which</w:t>
      </w:r>
      <w:r>
        <w:rPr>
          <w:spacing w:val="1"/>
        </w:rPr>
        <w:t> </w:t>
      </w:r>
      <w:r>
        <w:rPr/>
        <w:t>applies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daily</w:t>
      </w:r>
      <w:r>
        <w:rPr>
          <w:spacing w:val="-1"/>
        </w:rPr>
        <w:t> </w:t>
      </w:r>
      <w:r>
        <w:rPr/>
        <w:t>periodic</w:t>
      </w:r>
      <w:r>
        <w:rPr>
          <w:spacing w:val="-2"/>
        </w:rPr>
        <w:t> </w:t>
      </w:r>
      <w:r>
        <w:rPr/>
        <w:t>rate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principal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deposit</w:t>
      </w:r>
      <w:r>
        <w:rPr>
          <w:spacing w:val="-1"/>
        </w:rPr>
        <w:t> </w:t>
      </w:r>
      <w:r>
        <w:rPr/>
        <w:t>account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day.</w:t>
      </w:r>
      <w:r>
        <w:rPr>
          <w:spacing w:val="-1"/>
        </w:rPr>
        <w:t> </w:t>
      </w:r>
      <w:r>
        <w:rPr/>
        <w:t>Fees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reduce</w:t>
      </w:r>
      <w:r>
        <w:rPr>
          <w:spacing w:val="-2"/>
        </w:rPr>
        <w:t> </w:t>
      </w:r>
      <w:r>
        <w:rPr/>
        <w:t>earnings.</w:t>
      </w:r>
    </w:p>
    <w:p>
      <w:pPr>
        <w:pStyle w:val="Heading1"/>
        <w:spacing w:before="88"/>
      </w:pPr>
      <w:bookmarkStart w:name="Money Market Mutual Funds" w:id="5"/>
      <w:bookmarkEnd w:id="5"/>
      <w:r>
        <w:rPr>
          <w:b w:val="0"/>
        </w:rPr>
      </w:r>
      <w:r>
        <w:rPr>
          <w:color w:val="191F55"/>
        </w:rPr>
        <w:t>Money</w:t>
      </w:r>
      <w:r>
        <w:rPr>
          <w:color w:val="191F55"/>
          <w:spacing w:val="-3"/>
        </w:rPr>
        <w:t> </w:t>
      </w:r>
      <w:r>
        <w:rPr>
          <w:color w:val="191F55"/>
        </w:rPr>
        <w:t>Market</w:t>
      </w:r>
      <w:r>
        <w:rPr>
          <w:color w:val="191F55"/>
          <w:spacing w:val="-3"/>
        </w:rPr>
        <w:t> </w:t>
      </w:r>
      <w:r>
        <w:rPr>
          <w:color w:val="191F55"/>
        </w:rPr>
        <w:t>Mutual</w:t>
      </w:r>
      <w:r>
        <w:rPr>
          <w:color w:val="191F55"/>
          <w:spacing w:val="-2"/>
        </w:rPr>
        <w:t> </w:t>
      </w:r>
      <w:r>
        <w:rPr>
          <w:color w:val="191F55"/>
        </w:rPr>
        <w:t>Funds</w:t>
      </w:r>
    </w:p>
    <w:p>
      <w:pPr>
        <w:spacing w:line="259" w:lineRule="auto" w:before="86"/>
        <w:ind w:left="722" w:right="906" w:hanging="1"/>
        <w:jc w:val="both"/>
        <w:rPr>
          <w:sz w:val="18"/>
        </w:rPr>
      </w:pPr>
      <w:r>
        <w:rPr>
          <w:spacing w:val="-6"/>
          <w:sz w:val="18"/>
        </w:rPr>
        <w:t>Investing</w:t>
      </w:r>
      <w:r>
        <w:rPr>
          <w:sz w:val="18"/>
        </w:rPr>
        <w:t> </w:t>
      </w:r>
      <w:r>
        <w:rPr>
          <w:spacing w:val="-6"/>
          <w:sz w:val="18"/>
        </w:rPr>
        <w:t>involves</w:t>
      </w:r>
      <w:r>
        <w:rPr>
          <w:sz w:val="18"/>
        </w:rPr>
        <w:t> </w:t>
      </w:r>
      <w:r>
        <w:rPr>
          <w:spacing w:val="-6"/>
          <w:sz w:val="18"/>
        </w:rPr>
        <w:t>risk.</w:t>
      </w:r>
      <w:r>
        <w:rPr>
          <w:sz w:val="18"/>
        </w:rPr>
        <w:t> </w:t>
      </w:r>
      <w:r>
        <w:rPr>
          <w:spacing w:val="-5"/>
          <w:sz w:val="18"/>
        </w:rPr>
        <w:t>For</w:t>
      </w:r>
      <w:r>
        <w:rPr>
          <w:sz w:val="18"/>
        </w:rPr>
        <w:t> </w:t>
      </w:r>
      <w:r>
        <w:rPr>
          <w:spacing w:val="-6"/>
          <w:sz w:val="18"/>
        </w:rPr>
        <w:t>more</w:t>
      </w:r>
      <w:r>
        <w:rPr>
          <w:sz w:val="18"/>
        </w:rPr>
        <w:t> </w:t>
      </w:r>
      <w:r>
        <w:rPr>
          <w:spacing w:val="-6"/>
          <w:sz w:val="18"/>
        </w:rPr>
        <w:t>complete</w:t>
      </w:r>
      <w:r>
        <w:rPr>
          <w:sz w:val="18"/>
        </w:rPr>
        <w:t> </w:t>
      </w:r>
      <w:r>
        <w:rPr>
          <w:spacing w:val="-7"/>
          <w:sz w:val="18"/>
        </w:rPr>
        <w:t>information</w:t>
      </w:r>
      <w:r>
        <w:rPr>
          <w:sz w:val="18"/>
        </w:rPr>
        <w:t> </w:t>
      </w:r>
      <w:r>
        <w:rPr>
          <w:spacing w:val="-4"/>
          <w:sz w:val="18"/>
        </w:rPr>
        <w:t>on</w:t>
      </w:r>
      <w:r>
        <w:rPr>
          <w:sz w:val="18"/>
        </w:rPr>
        <w:t> </w:t>
      </w:r>
      <w:r>
        <w:rPr>
          <w:spacing w:val="-5"/>
          <w:sz w:val="18"/>
        </w:rPr>
        <w:t>any</w:t>
      </w:r>
      <w:r>
        <w:rPr>
          <w:sz w:val="18"/>
        </w:rPr>
        <w:t> </w:t>
      </w:r>
      <w:r>
        <w:rPr>
          <w:spacing w:val="-6"/>
          <w:sz w:val="18"/>
        </w:rPr>
        <w:t>mutual</w:t>
      </w:r>
      <w:r>
        <w:rPr>
          <w:sz w:val="18"/>
        </w:rPr>
        <w:t> </w:t>
      </w:r>
      <w:r>
        <w:rPr>
          <w:spacing w:val="-6"/>
          <w:sz w:val="18"/>
        </w:rPr>
        <w:t>fund,</w:t>
      </w:r>
      <w:r>
        <w:rPr>
          <w:sz w:val="18"/>
        </w:rPr>
        <w:t> </w:t>
      </w:r>
      <w:r>
        <w:rPr>
          <w:spacing w:val="-6"/>
          <w:sz w:val="18"/>
        </w:rPr>
        <w:t>please</w:t>
      </w:r>
      <w:r>
        <w:rPr>
          <w:sz w:val="18"/>
        </w:rPr>
        <w:t> </w:t>
      </w:r>
      <w:r>
        <w:rPr>
          <w:spacing w:val="-6"/>
          <w:sz w:val="18"/>
        </w:rPr>
        <w:t>request</w:t>
      </w:r>
      <w:r>
        <w:rPr>
          <w:sz w:val="18"/>
        </w:rPr>
        <w:t> a </w:t>
      </w:r>
      <w:r>
        <w:rPr>
          <w:spacing w:val="-6"/>
          <w:sz w:val="18"/>
        </w:rPr>
        <w:t>prospectus</w:t>
      </w:r>
      <w:r>
        <w:rPr>
          <w:sz w:val="18"/>
        </w:rPr>
        <w:t> </w:t>
      </w:r>
      <w:r>
        <w:rPr>
          <w:spacing w:val="-6"/>
          <w:sz w:val="18"/>
        </w:rPr>
        <w:t>and/or,</w:t>
      </w:r>
      <w:r>
        <w:rPr>
          <w:sz w:val="18"/>
        </w:rPr>
        <w:t> </w:t>
      </w:r>
      <w:r>
        <w:rPr>
          <w:spacing w:val="-4"/>
          <w:sz w:val="18"/>
        </w:rPr>
        <w:t>if</w:t>
      </w:r>
      <w:r>
        <w:rPr>
          <w:sz w:val="18"/>
        </w:rPr>
        <w:t> </w:t>
      </w:r>
      <w:r>
        <w:rPr>
          <w:spacing w:val="-7"/>
          <w:sz w:val="18"/>
        </w:rPr>
        <w:t>available,</w:t>
      </w:r>
      <w:r>
        <w:rPr>
          <w:sz w:val="18"/>
        </w:rPr>
        <w:t> a </w:t>
      </w:r>
      <w:r>
        <w:rPr>
          <w:spacing w:val="-6"/>
          <w:sz w:val="18"/>
        </w:rPr>
        <w:t>summary</w:t>
      </w:r>
      <w:r>
        <w:rPr>
          <w:sz w:val="18"/>
        </w:rPr>
        <w:t> </w:t>
      </w:r>
      <w:r>
        <w:rPr>
          <w:spacing w:val="-6"/>
          <w:sz w:val="18"/>
        </w:rPr>
        <w:t>prospectus</w:t>
      </w:r>
      <w:r>
        <w:rPr>
          <w:sz w:val="18"/>
        </w:rPr>
        <w:t> </w:t>
      </w:r>
      <w:r>
        <w:rPr>
          <w:spacing w:val="-5"/>
          <w:sz w:val="18"/>
        </w:rPr>
        <w:t>from</w:t>
      </w:r>
      <w:r>
        <w:rPr>
          <w:sz w:val="18"/>
        </w:rPr>
        <w:t> </w:t>
      </w:r>
      <w:r>
        <w:rPr>
          <w:spacing w:val="-6"/>
          <w:sz w:val="18"/>
        </w:rPr>
        <w:t>your</w:t>
      </w:r>
      <w:r>
        <w:rPr>
          <w:spacing w:val="-38"/>
          <w:sz w:val="18"/>
        </w:rPr>
        <w:t> </w:t>
      </w:r>
      <w:r>
        <w:rPr>
          <w:spacing w:val="-6"/>
          <w:sz w:val="18"/>
        </w:rPr>
        <w:t>Merrill</w:t>
      </w:r>
      <w:r>
        <w:rPr>
          <w:sz w:val="18"/>
        </w:rPr>
        <w:t> </w:t>
      </w:r>
      <w:r>
        <w:rPr>
          <w:spacing w:val="-6"/>
          <w:sz w:val="18"/>
        </w:rPr>
        <w:t>advisor</w:t>
      </w:r>
      <w:r>
        <w:rPr>
          <w:sz w:val="18"/>
        </w:rPr>
        <w:t> </w:t>
      </w:r>
      <w:r>
        <w:rPr>
          <w:spacing w:val="-5"/>
          <w:sz w:val="18"/>
        </w:rPr>
        <w:t>and</w:t>
      </w:r>
      <w:r>
        <w:rPr>
          <w:sz w:val="18"/>
        </w:rPr>
        <w:t> </w:t>
      </w:r>
      <w:r>
        <w:rPr>
          <w:spacing w:val="-5"/>
          <w:sz w:val="18"/>
        </w:rPr>
        <w:t>read</w:t>
      </w:r>
      <w:r>
        <w:rPr>
          <w:sz w:val="18"/>
        </w:rPr>
        <w:t> </w:t>
      </w:r>
      <w:r>
        <w:rPr>
          <w:spacing w:val="-4"/>
          <w:sz w:val="18"/>
        </w:rPr>
        <w:t>it</w:t>
      </w:r>
      <w:r>
        <w:rPr>
          <w:sz w:val="18"/>
        </w:rPr>
        <w:t> </w:t>
      </w:r>
      <w:r>
        <w:rPr>
          <w:spacing w:val="-6"/>
          <w:sz w:val="18"/>
        </w:rPr>
        <w:t>carefully.</w:t>
      </w:r>
      <w:r>
        <w:rPr>
          <w:sz w:val="18"/>
        </w:rPr>
        <w:t> </w:t>
      </w:r>
      <w:r>
        <w:rPr>
          <w:spacing w:val="-6"/>
          <w:sz w:val="18"/>
        </w:rPr>
        <w:t>Before</w:t>
      </w:r>
      <w:r>
        <w:rPr>
          <w:sz w:val="18"/>
        </w:rPr>
        <w:t> </w:t>
      </w:r>
      <w:r>
        <w:rPr>
          <w:spacing w:val="-7"/>
          <w:sz w:val="18"/>
        </w:rPr>
        <w:t>investing,</w:t>
      </w:r>
      <w:r>
        <w:rPr>
          <w:sz w:val="18"/>
        </w:rPr>
        <w:t> </w:t>
      </w:r>
      <w:r>
        <w:rPr>
          <w:spacing w:val="-6"/>
          <w:sz w:val="18"/>
        </w:rPr>
        <w:t>carefully</w:t>
      </w:r>
      <w:r>
        <w:rPr>
          <w:sz w:val="18"/>
        </w:rPr>
        <w:t> </w:t>
      </w:r>
      <w:r>
        <w:rPr>
          <w:spacing w:val="-6"/>
          <w:sz w:val="18"/>
        </w:rPr>
        <w:t>consider</w:t>
      </w:r>
      <w:r>
        <w:rPr>
          <w:sz w:val="18"/>
        </w:rPr>
        <w:t> </w:t>
      </w:r>
      <w:r>
        <w:rPr>
          <w:spacing w:val="-5"/>
          <w:sz w:val="18"/>
        </w:rPr>
        <w:t>the</w:t>
      </w:r>
      <w:r>
        <w:rPr>
          <w:sz w:val="18"/>
        </w:rPr>
        <w:t> </w:t>
      </w:r>
      <w:r>
        <w:rPr>
          <w:spacing w:val="-6"/>
          <w:sz w:val="18"/>
        </w:rPr>
        <w:t>investment</w:t>
      </w:r>
      <w:r>
        <w:rPr>
          <w:sz w:val="18"/>
        </w:rPr>
        <w:t> </w:t>
      </w:r>
      <w:r>
        <w:rPr>
          <w:spacing w:val="-6"/>
          <w:sz w:val="18"/>
        </w:rPr>
        <w:t>objectives,</w:t>
      </w:r>
      <w:r>
        <w:rPr>
          <w:sz w:val="18"/>
        </w:rPr>
        <w:t> </w:t>
      </w:r>
      <w:r>
        <w:rPr>
          <w:spacing w:val="-6"/>
          <w:sz w:val="18"/>
        </w:rPr>
        <w:t>risks,</w:t>
      </w:r>
      <w:r>
        <w:rPr>
          <w:sz w:val="18"/>
        </w:rPr>
        <w:t> </w:t>
      </w:r>
      <w:r>
        <w:rPr>
          <w:spacing w:val="-5"/>
          <w:sz w:val="18"/>
        </w:rPr>
        <w:t>and</w:t>
      </w:r>
      <w:r>
        <w:rPr>
          <w:sz w:val="18"/>
        </w:rPr>
        <w:t> </w:t>
      </w:r>
      <w:r>
        <w:rPr>
          <w:spacing w:val="-6"/>
          <w:sz w:val="18"/>
        </w:rPr>
        <w:t>charges</w:t>
      </w:r>
      <w:r>
        <w:rPr>
          <w:sz w:val="18"/>
        </w:rPr>
        <w:t> </w:t>
      </w:r>
      <w:r>
        <w:rPr>
          <w:spacing w:val="-5"/>
          <w:sz w:val="18"/>
        </w:rPr>
        <w:t>and</w:t>
      </w:r>
      <w:r>
        <w:rPr>
          <w:sz w:val="18"/>
        </w:rPr>
        <w:t> </w:t>
      </w:r>
      <w:r>
        <w:rPr>
          <w:spacing w:val="-6"/>
          <w:sz w:val="18"/>
        </w:rPr>
        <w:t>expenses</w:t>
      </w:r>
      <w:r>
        <w:rPr>
          <w:sz w:val="18"/>
        </w:rPr>
        <w:t> </w:t>
      </w:r>
      <w:r>
        <w:rPr>
          <w:spacing w:val="-4"/>
          <w:sz w:val="18"/>
        </w:rPr>
        <w:t>of</w:t>
      </w:r>
      <w:r>
        <w:rPr>
          <w:sz w:val="18"/>
        </w:rPr>
        <w:t> </w:t>
      </w:r>
      <w:r>
        <w:rPr>
          <w:spacing w:val="-5"/>
          <w:sz w:val="18"/>
        </w:rPr>
        <w:t>the</w:t>
      </w:r>
      <w:r>
        <w:rPr>
          <w:sz w:val="18"/>
        </w:rPr>
        <w:t> </w:t>
      </w:r>
      <w:r>
        <w:rPr>
          <w:spacing w:val="-6"/>
          <w:sz w:val="18"/>
        </w:rPr>
        <w:t>fund.</w:t>
      </w:r>
      <w:r>
        <w:rPr>
          <w:sz w:val="18"/>
        </w:rPr>
        <w:t> </w:t>
      </w:r>
      <w:r>
        <w:rPr>
          <w:spacing w:val="-6"/>
          <w:sz w:val="18"/>
        </w:rPr>
        <w:t>This</w:t>
      </w:r>
      <w:r>
        <w:rPr>
          <w:sz w:val="18"/>
        </w:rPr>
        <w:t> </w:t>
      </w:r>
      <w:r>
        <w:rPr>
          <w:spacing w:val="-5"/>
          <w:sz w:val="18"/>
        </w:rPr>
        <w:t>and</w:t>
      </w:r>
      <w:r>
        <w:rPr>
          <w:sz w:val="18"/>
        </w:rPr>
        <w:t> </w:t>
      </w:r>
      <w:r>
        <w:rPr>
          <w:spacing w:val="-6"/>
          <w:sz w:val="18"/>
        </w:rPr>
        <w:t>other</w:t>
      </w:r>
      <w:r>
        <w:rPr>
          <w:spacing w:val="-38"/>
          <w:sz w:val="18"/>
        </w:rPr>
        <w:t> </w:t>
      </w:r>
      <w:r>
        <w:rPr>
          <w:sz w:val="18"/>
        </w:rPr>
        <w:t>information</w:t>
      </w:r>
      <w:r>
        <w:rPr>
          <w:spacing w:val="-15"/>
          <w:sz w:val="18"/>
        </w:rPr>
        <w:t> </w:t>
      </w:r>
      <w:r>
        <w:rPr>
          <w:sz w:val="18"/>
        </w:rPr>
        <w:t>can</w:t>
      </w:r>
      <w:r>
        <w:rPr>
          <w:spacing w:val="-15"/>
          <w:sz w:val="18"/>
        </w:rPr>
        <w:t> </w:t>
      </w:r>
      <w:r>
        <w:rPr>
          <w:sz w:val="18"/>
        </w:rPr>
        <w:t>be</w:t>
      </w:r>
      <w:r>
        <w:rPr>
          <w:spacing w:val="-14"/>
          <w:sz w:val="18"/>
        </w:rPr>
        <w:t> </w:t>
      </w:r>
      <w:r>
        <w:rPr>
          <w:sz w:val="18"/>
        </w:rPr>
        <w:t>found</w:t>
      </w:r>
      <w:r>
        <w:rPr>
          <w:spacing w:val="-15"/>
          <w:sz w:val="18"/>
        </w:rPr>
        <w:t> </w:t>
      </w:r>
      <w:r>
        <w:rPr>
          <w:sz w:val="18"/>
        </w:rPr>
        <w:t>in</w:t>
      </w:r>
      <w:r>
        <w:rPr>
          <w:spacing w:val="-15"/>
          <w:sz w:val="18"/>
        </w:rPr>
        <w:t> </w:t>
      </w:r>
      <w:r>
        <w:rPr>
          <w:sz w:val="18"/>
        </w:rPr>
        <w:t>the</w:t>
      </w:r>
      <w:r>
        <w:rPr>
          <w:spacing w:val="-14"/>
          <w:sz w:val="18"/>
        </w:rPr>
        <w:t> </w:t>
      </w:r>
      <w:r>
        <w:rPr>
          <w:sz w:val="18"/>
        </w:rPr>
        <w:t>fund’s</w:t>
      </w:r>
      <w:r>
        <w:rPr>
          <w:spacing w:val="-15"/>
          <w:sz w:val="18"/>
        </w:rPr>
        <w:t> </w:t>
      </w:r>
      <w:r>
        <w:rPr>
          <w:sz w:val="18"/>
        </w:rPr>
        <w:t>prospectus</w:t>
      </w:r>
      <w:r>
        <w:rPr>
          <w:spacing w:val="-15"/>
          <w:sz w:val="18"/>
        </w:rPr>
        <w:t> </w:t>
      </w:r>
      <w:r>
        <w:rPr>
          <w:sz w:val="18"/>
        </w:rPr>
        <w:t>and/or,</w:t>
      </w:r>
      <w:r>
        <w:rPr>
          <w:spacing w:val="-14"/>
          <w:sz w:val="18"/>
        </w:rPr>
        <w:t> </w:t>
      </w:r>
      <w:r>
        <w:rPr>
          <w:sz w:val="18"/>
        </w:rPr>
        <w:t>if</w:t>
      </w:r>
      <w:r>
        <w:rPr>
          <w:spacing w:val="-15"/>
          <w:sz w:val="18"/>
        </w:rPr>
        <w:t> </w:t>
      </w:r>
      <w:r>
        <w:rPr>
          <w:sz w:val="18"/>
        </w:rPr>
        <w:t>available,</w:t>
      </w:r>
      <w:r>
        <w:rPr>
          <w:spacing w:val="-14"/>
          <w:sz w:val="18"/>
        </w:rPr>
        <w:t> </w:t>
      </w:r>
      <w:r>
        <w:rPr>
          <w:sz w:val="18"/>
        </w:rPr>
        <w:t>summary</w:t>
      </w:r>
      <w:r>
        <w:rPr>
          <w:spacing w:val="-16"/>
          <w:sz w:val="18"/>
        </w:rPr>
        <w:t> </w:t>
      </w:r>
      <w:r>
        <w:rPr>
          <w:sz w:val="18"/>
        </w:rPr>
        <w:t>prospectus.</w:t>
      </w:r>
    </w:p>
    <w:p>
      <w:pPr>
        <w:spacing w:before="114"/>
        <w:ind w:left="731" w:right="328" w:firstLine="0"/>
        <w:jc w:val="left"/>
        <w:rPr>
          <w:i/>
          <w:sz w:val="20"/>
        </w:rPr>
      </w:pPr>
      <w:r>
        <w:rPr>
          <w:i/>
          <w:spacing w:val="-7"/>
          <w:sz w:val="20"/>
        </w:rPr>
        <w:t>*You</w:t>
      </w:r>
      <w:r>
        <w:rPr>
          <w:i/>
          <w:spacing w:val="-6"/>
          <w:sz w:val="20"/>
        </w:rPr>
        <w:t> </w:t>
      </w:r>
      <w:r>
        <w:rPr>
          <w:i/>
          <w:spacing w:val="-7"/>
          <w:sz w:val="20"/>
        </w:rPr>
        <w:t>could</w:t>
      </w:r>
      <w:r>
        <w:rPr>
          <w:i/>
          <w:spacing w:val="-6"/>
          <w:sz w:val="20"/>
        </w:rPr>
        <w:t> lose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pacing w:val="-7"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investing</w:t>
      </w:r>
      <w:r>
        <w:rPr>
          <w:i/>
          <w:spacing w:val="-6"/>
          <w:sz w:val="20"/>
        </w:rPr>
        <w:t> in </w:t>
      </w:r>
      <w:r>
        <w:rPr>
          <w:i/>
          <w:spacing w:val="-7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Fund. </w:t>
      </w:r>
      <w:r>
        <w:rPr>
          <w:i/>
          <w:spacing w:val="-7"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the</w:t>
      </w:r>
      <w:r>
        <w:rPr>
          <w:i/>
          <w:spacing w:val="-6"/>
          <w:sz w:val="20"/>
        </w:rPr>
        <w:t> Fund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seeks </w:t>
      </w:r>
      <w:r>
        <w:rPr>
          <w:i/>
          <w:spacing w:val="-7"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pacing w:val="-7"/>
          <w:sz w:val="20"/>
        </w:rPr>
        <w:t>preserve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7"/>
          <w:sz w:val="20"/>
        </w:rPr>
        <w:t>value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of </w:t>
      </w:r>
      <w:r>
        <w:rPr>
          <w:i/>
          <w:spacing w:val="-7"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pacing w:val="-7"/>
          <w:sz w:val="20"/>
        </w:rPr>
        <w:t>investment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at</w:t>
      </w:r>
      <w:r>
        <w:rPr>
          <w:i/>
          <w:spacing w:val="-6"/>
          <w:sz w:val="20"/>
        </w:rPr>
        <w:t> $1.00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per</w:t>
      </w:r>
      <w:r>
        <w:rPr>
          <w:i/>
          <w:spacing w:val="-6"/>
          <w:sz w:val="20"/>
        </w:rPr>
        <w:t> </w:t>
      </w:r>
      <w:r>
        <w:rPr>
          <w:i/>
          <w:spacing w:val="-7"/>
          <w:sz w:val="20"/>
        </w:rPr>
        <w:t>share,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pacing w:val="-7"/>
          <w:sz w:val="20"/>
        </w:rPr>
        <w:t>cannot</w:t>
      </w:r>
      <w:r>
        <w:rPr>
          <w:i/>
          <w:spacing w:val="-6"/>
          <w:sz w:val="20"/>
        </w:rPr>
        <w:t> </w:t>
      </w:r>
      <w:r>
        <w:rPr>
          <w:i/>
          <w:spacing w:val="-7"/>
          <w:sz w:val="20"/>
        </w:rPr>
        <w:t>guarantee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so.</w:t>
      </w:r>
      <w:r>
        <w:rPr>
          <w:i/>
          <w:spacing w:val="-4"/>
          <w:sz w:val="20"/>
        </w:rPr>
        <w:t> </w:t>
      </w:r>
      <w:r>
        <w:rPr>
          <w:i/>
          <w:spacing w:val="-7"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investment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pacing w:val="-6"/>
          <w:sz w:val="20"/>
        </w:rPr>
        <w:t>Fund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pacing w:val="-6"/>
          <w:sz w:val="20"/>
        </w:rPr>
        <w:t>bank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account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pacing w:val="-7"/>
          <w:sz w:val="20"/>
        </w:rPr>
        <w:t>insured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guaranteed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pacing w:val="-7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Federal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Deposit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Insurance</w:t>
      </w:r>
      <w:r>
        <w:rPr>
          <w:i/>
          <w:spacing w:val="-4"/>
          <w:sz w:val="20"/>
        </w:rPr>
        <w:t> </w:t>
      </w:r>
      <w:r>
        <w:rPr>
          <w:i/>
          <w:spacing w:val="-6"/>
          <w:sz w:val="20"/>
        </w:rPr>
        <w:t>Corporation</w:t>
      </w:r>
      <w:r>
        <w:rPr>
          <w:i/>
          <w:spacing w:val="-2"/>
          <w:sz w:val="20"/>
        </w:rPr>
        <w:t> </w:t>
      </w:r>
      <w:r>
        <w:rPr>
          <w:i/>
          <w:spacing w:val="-7"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government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agency.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Fund’s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sponsor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pacing w:val="-7"/>
          <w:sz w:val="20"/>
        </w:rPr>
        <w:t>required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reimburse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Fund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losses,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pacing w:val="-7"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expect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sponsor</w:t>
      </w:r>
      <w:r>
        <w:rPr>
          <w:i/>
          <w:spacing w:val="-5"/>
          <w:sz w:val="20"/>
        </w:rPr>
        <w:t> </w:t>
      </w:r>
      <w:r>
        <w:rPr>
          <w:i/>
          <w:spacing w:val="-7"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periods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stress.</w:t>
      </w:r>
    </w:p>
    <w:p>
      <w:pPr>
        <w:spacing w:line="259" w:lineRule="auto" w:before="119"/>
        <w:ind w:left="722" w:right="795" w:firstLine="0"/>
        <w:jc w:val="left"/>
        <w:rPr>
          <w:i/>
          <w:sz w:val="20"/>
        </w:rPr>
      </w:pPr>
      <w:r>
        <w:rPr>
          <w:i/>
          <w:sz w:val="20"/>
        </w:rPr>
        <w:t>**You could lose money by investing in the Fund. Because the share price of the Fund will fluctuate, when you sell your shares they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may be worth more or less than what you originally paid for them. The Fund may impose a fee upon sale of your shares. The Fund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generally must impose a fee when net sales of Fund shares exceed certain levels. An investment in the Fund is not a bank account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is not insured or guaranteed by the Federal Deposit Insurance Corporation or any other government agency. The Fund’s sponsor is not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required to reimburse the Fund for losses, and you should not expect that the sponsor will provide financial support to the Fund at any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periods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stress. </w:t>
      </w:r>
    </w:p>
    <w:p>
      <w:pPr>
        <w:pStyle w:val="BodyText"/>
        <w:spacing w:line="259" w:lineRule="auto" w:before="114"/>
        <w:ind w:left="721" w:right="1100"/>
      </w:pPr>
      <w:r>
        <w:rPr/>
        <w:t>Seven-day yields are obtained from a Money Market Mutual Fund service provider. The seven-day current yield is based on the average net income per</w:t>
      </w:r>
      <w:r>
        <w:rPr>
          <w:spacing w:val="1"/>
        </w:rPr>
        <w:t> </w:t>
      </w:r>
      <w:r>
        <w:rPr/>
        <w:t>share for the seven days ended on the date specified above, and the offering price on that date. The current yield reflects any voluntary waivers or</w:t>
      </w:r>
      <w:r>
        <w:rPr>
          <w:spacing w:val="1"/>
        </w:rPr>
        <w:t> </w:t>
      </w:r>
      <w:r>
        <w:rPr/>
        <w:t>reimbursement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fund</w:t>
      </w:r>
      <w:r>
        <w:rPr>
          <w:spacing w:val="-6"/>
        </w:rPr>
        <w:t> </w:t>
      </w:r>
      <w:r>
        <w:rPr/>
        <w:t>expenses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advisor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affiliates.</w:t>
      </w:r>
      <w:r>
        <w:rPr>
          <w:spacing w:val="-6"/>
        </w:rPr>
        <w:t> </w:t>
      </w:r>
      <w:r>
        <w:rPr/>
        <w:t>Absent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waivers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reimbursement</w:t>
      </w:r>
      <w:r>
        <w:rPr>
          <w:spacing w:val="-6"/>
        </w:rPr>
        <w:t> </w:t>
      </w:r>
      <w:r>
        <w:rPr/>
        <w:t>arrangements,</w:t>
      </w:r>
      <w:r>
        <w:rPr>
          <w:spacing w:val="-6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would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1"/>
        </w:rPr>
        <w:t> </w:t>
      </w:r>
      <w:r>
        <w:rPr/>
        <w:t>lower.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contact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Merrill</w:t>
      </w:r>
      <w:r>
        <w:rPr>
          <w:spacing w:val="-5"/>
        </w:rPr>
        <w:t> </w:t>
      </w:r>
      <w:r>
        <w:rPr/>
        <w:t>advisor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current</w:t>
      </w:r>
      <w:r>
        <w:rPr>
          <w:spacing w:val="-5"/>
        </w:rPr>
        <w:t> </w:t>
      </w:r>
      <w:r>
        <w:rPr/>
        <w:t>yield</w:t>
      </w:r>
      <w:r>
        <w:rPr>
          <w:spacing w:val="-5"/>
        </w:rPr>
        <w:t> </w:t>
      </w:r>
      <w:r>
        <w:rPr/>
        <w:t>information.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seven-day</w:t>
      </w:r>
      <w:r>
        <w:rPr>
          <w:spacing w:val="-4"/>
        </w:rPr>
        <w:t> </w:t>
      </w:r>
      <w:r>
        <w:rPr/>
        <w:t>yield</w:t>
      </w:r>
      <w:r>
        <w:rPr>
          <w:spacing w:val="-5"/>
        </w:rPr>
        <w:t> </w:t>
      </w:r>
      <w:r>
        <w:rPr/>
        <w:t>shown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closely</w:t>
      </w:r>
      <w:r>
        <w:rPr>
          <w:spacing w:val="-5"/>
        </w:rPr>
        <w:t> </w:t>
      </w:r>
      <w:r>
        <w:rPr/>
        <w:t>reflects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5"/>
        </w:rPr>
        <w:t> </w:t>
      </w:r>
      <w:r>
        <w:rPr/>
        <w:t>earnings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fund</w:t>
      </w:r>
      <w:r>
        <w:rPr>
          <w:spacing w:val="1"/>
        </w:rPr>
        <w:t> </w:t>
      </w:r>
      <w:r>
        <w:rPr/>
        <w:t>than the total return performance information. Taxable equivalent yields are for illustrative purposes only. The taxable equivalent yield assumes a 37.0%</w:t>
      </w:r>
      <w:r>
        <w:rPr>
          <w:spacing w:val="-36"/>
        </w:rPr>
        <w:t> </w:t>
      </w:r>
      <w:r>
        <w:rPr/>
        <w:t>federal</w:t>
      </w:r>
      <w:r>
        <w:rPr>
          <w:spacing w:val="-2"/>
        </w:rPr>
        <w:t> </w:t>
      </w:r>
      <w:r>
        <w:rPr/>
        <w:t>tax</w:t>
      </w:r>
      <w:r>
        <w:rPr>
          <w:spacing w:val="-1"/>
        </w:rPr>
        <w:t> </w:t>
      </w:r>
      <w:r>
        <w:rPr/>
        <w:t>rate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vary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tax</w:t>
      </w:r>
      <w:r>
        <w:rPr>
          <w:spacing w:val="-1"/>
        </w:rPr>
        <w:t> </w:t>
      </w:r>
      <w:r>
        <w:rPr/>
        <w:t>rate.</w:t>
      </w:r>
    </w:p>
    <w:p>
      <w:pPr>
        <w:pStyle w:val="BodyText"/>
        <w:spacing w:line="259" w:lineRule="auto" w:before="79"/>
        <w:ind w:left="721" w:right="1001"/>
        <w:jc w:val="both"/>
      </w:pPr>
      <w:r>
        <w:rPr/>
        <w:t>Dividends from the tax-exempt money market mutual funds and the state-specific money market mutual funds are exempt from federal income tax;</w:t>
      </w:r>
      <w:r>
        <w:rPr>
          <w:spacing w:val="1"/>
        </w:rPr>
        <w:t> </w:t>
      </w:r>
      <w:r>
        <w:rPr/>
        <w:t>dividends from state-specific funds are exempt from the respective state’s income tax as well. A portion of these funds’ income, however, may be subject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alternative</w:t>
      </w:r>
      <w:r>
        <w:rPr>
          <w:spacing w:val="-1"/>
        </w:rPr>
        <w:t> </w:t>
      </w:r>
      <w:r>
        <w:rPr/>
        <w:t>minimum</w:t>
      </w:r>
      <w:r>
        <w:rPr>
          <w:spacing w:val="-1"/>
        </w:rPr>
        <w:t> </w:t>
      </w:r>
      <w:r>
        <w:rPr/>
        <w:t>tax</w:t>
      </w:r>
      <w:r>
        <w:rPr>
          <w:spacing w:val="-1"/>
        </w:rPr>
        <w:t> </w:t>
      </w:r>
      <w:r>
        <w:rPr/>
        <w:t>(AMT).</w:t>
      </w:r>
    </w:p>
    <w:p>
      <w:pPr>
        <w:pStyle w:val="Heading1"/>
        <w:spacing w:before="80"/>
        <w:ind w:left="721"/>
      </w:pPr>
      <w:r>
        <w:rPr>
          <w:color w:val="191F55"/>
        </w:rPr>
        <w:t>Other</w:t>
      </w:r>
      <w:r>
        <w:rPr>
          <w:color w:val="191F55"/>
          <w:spacing w:val="-7"/>
        </w:rPr>
        <w:t> </w:t>
      </w:r>
      <w:r>
        <w:rPr>
          <w:color w:val="191F55"/>
        </w:rPr>
        <w:t>Information</w:t>
      </w:r>
    </w:p>
    <w:p>
      <w:pPr>
        <w:pStyle w:val="BodyText"/>
        <w:spacing w:line="259" w:lineRule="auto" w:before="97"/>
        <w:ind w:left="721" w:right="1000"/>
        <w:jc w:val="both"/>
      </w:pPr>
      <w:r>
        <w:rPr/>
        <w:t>Merrill,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Bull</w:t>
      </w:r>
      <w:r>
        <w:rPr>
          <w:spacing w:val="1"/>
        </w:rPr>
        <w:t> </w:t>
      </w:r>
      <w:r>
        <w:rPr/>
        <w:t>Symbol,</w:t>
      </w:r>
      <w:r>
        <w:rPr>
          <w:spacing w:val="1"/>
        </w:rPr>
        <w:t> </w:t>
      </w:r>
      <w:r>
        <w:rPr/>
        <w:t>Merrill</w:t>
      </w:r>
      <w:r>
        <w:rPr>
          <w:spacing w:val="1"/>
        </w:rPr>
        <w:t> </w:t>
      </w:r>
      <w:r>
        <w:rPr/>
        <w:t>Edge,</w:t>
      </w:r>
      <w:r>
        <w:rPr>
          <w:spacing w:val="1"/>
        </w:rPr>
        <w:t> </w:t>
      </w:r>
      <w:r>
        <w:rPr/>
        <w:t>ISA,</w:t>
      </w:r>
      <w:r>
        <w:rPr>
          <w:spacing w:val="1"/>
        </w:rPr>
        <w:t> </w:t>
      </w:r>
      <w:r>
        <w:rPr/>
        <w:t>Preferred</w:t>
      </w:r>
      <w:r>
        <w:rPr>
          <w:spacing w:val="1"/>
        </w:rPr>
        <w:t> </w:t>
      </w:r>
      <w:r>
        <w:rPr/>
        <w:t>Deposit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Preferred</w:t>
      </w:r>
      <w:r>
        <w:rPr>
          <w:spacing w:val="1"/>
        </w:rPr>
        <w:t> </w:t>
      </w:r>
      <w:r>
        <w:rPr/>
        <w:t>Deposit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registered</w:t>
      </w:r>
      <w:r>
        <w:rPr>
          <w:spacing w:val="1"/>
        </w:rPr>
        <w:t> </w:t>
      </w:r>
      <w:r>
        <w:rPr/>
        <w:t>trademarks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Bank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America</w:t>
      </w:r>
      <w:r>
        <w:rPr>
          <w:spacing w:val="1"/>
        </w:rPr>
        <w:t> </w:t>
      </w:r>
      <w:r>
        <w:rPr/>
        <w:t>Corporation. Federated Hermes is a trademark of Federated Hermes, Inc. BlackRock is a registered trademark of BlackRock, Inc. Fidelity Investments is a</w:t>
      </w:r>
      <w:r>
        <w:rPr>
          <w:spacing w:val="1"/>
        </w:rPr>
        <w:t> </w:t>
      </w:r>
      <w:r>
        <w:rPr/>
        <w:t>registered</w:t>
      </w:r>
      <w:r>
        <w:rPr>
          <w:spacing w:val="-2"/>
        </w:rPr>
        <w:t> </w:t>
      </w:r>
      <w:r>
        <w:rPr/>
        <w:t>trademark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FMR</w:t>
      </w:r>
      <w:r>
        <w:rPr>
          <w:spacing w:val="-1"/>
        </w:rPr>
        <w:t> </w:t>
      </w:r>
      <w:r>
        <w:rPr/>
        <w:t>LLC.</w:t>
      </w:r>
    </w:p>
    <w:p>
      <w:pPr>
        <w:pStyle w:val="BodyText"/>
        <w:spacing w:line="259" w:lineRule="auto" w:before="79"/>
        <w:ind w:left="721" w:right="1002"/>
        <w:jc w:val="both"/>
      </w:pPr>
      <w:r>
        <w:rPr/>
        <w:t>Merrill brokerage accounts and investment advisory programs are offered by Merrill Lynch, Pierce, Fenner and Smith Incorporated (MLPF&amp;S). MLPF&amp;S</w:t>
      </w:r>
      <w:r>
        <w:rPr>
          <w:spacing w:val="1"/>
        </w:rPr>
        <w:t> </w:t>
      </w:r>
      <w:r>
        <w:rPr/>
        <w:t>and its affiliate Managed Account Advisers, LLC (MAA) are registered investment advisers. Investment advisor registration does not imply a certain level of</w:t>
      </w:r>
      <w:r>
        <w:rPr>
          <w:spacing w:val="-36"/>
        </w:rPr>
        <w:t> </w:t>
      </w:r>
      <w:r>
        <w:rPr/>
        <w:t>skill or training. This material does not take into account a client’s particular investment objectives, financial situations, or needs and is not intended as a</w:t>
      </w:r>
      <w:r>
        <w:rPr>
          <w:spacing w:val="1"/>
        </w:rPr>
        <w:t> </w:t>
      </w:r>
      <w:r>
        <w:rPr/>
        <w:t>recommendation, offer, or solicitation for the purchase or sale of any security or investment strategy. Merrill offers a broad range of brokerage,</w:t>
      </w:r>
      <w:r>
        <w:rPr>
          <w:spacing w:val="1"/>
        </w:rPr>
        <w:t> </w:t>
      </w:r>
      <w:r>
        <w:rPr/>
        <w:t>investment advisory (including financial planning) and other services. There are important differences between brokerage and investment advisory</w:t>
      </w:r>
      <w:r>
        <w:rPr>
          <w:spacing w:val="1"/>
        </w:rPr>
        <w:t> </w:t>
      </w:r>
      <w:r>
        <w:rPr/>
        <w:t>services, including the type of advice and assistance provided, the fees charged, and the rights and obligations of the parties. It is important to understand</w:t>
      </w:r>
      <w:r>
        <w:rPr>
          <w:spacing w:val="-36"/>
        </w:rPr>
        <w:t> </w:t>
      </w:r>
      <w:r>
        <w:rPr/>
        <w:t>the</w:t>
      </w:r>
      <w:r>
        <w:rPr>
          <w:spacing w:val="-2"/>
        </w:rPr>
        <w:t> </w:t>
      </w:r>
      <w:r>
        <w:rPr/>
        <w:t>differences,</w:t>
      </w:r>
      <w:r>
        <w:rPr>
          <w:spacing w:val="-1"/>
        </w:rPr>
        <w:t> </w:t>
      </w:r>
      <w:r>
        <w:rPr/>
        <w:t>particularly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determining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service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select.</w:t>
      </w:r>
    </w:p>
    <w:p>
      <w:pPr>
        <w:pStyle w:val="BodyText"/>
        <w:spacing w:line="259" w:lineRule="auto" w:before="79"/>
        <w:ind w:left="721" w:right="1006"/>
        <w:jc w:val="both"/>
      </w:pPr>
      <w:r>
        <w:rPr/>
        <w:t>Merrill and its representatives do not provide tax, accounting or legal advice. Any tax statements contained herein were not intended or written to be</w:t>
      </w:r>
      <w:r>
        <w:rPr>
          <w:spacing w:val="1"/>
        </w:rPr>
        <w:t> </w:t>
      </w:r>
      <w:r>
        <w:rPr/>
        <w:t>used, and cannot be used, to avoid U.S. federal, state or local tax penalties. Please consult your advisors as to any tax, accounting or legal statements</w:t>
      </w:r>
      <w:r>
        <w:rPr>
          <w:spacing w:val="1"/>
        </w:rPr>
        <w:t> </w:t>
      </w:r>
      <w:r>
        <w:rPr/>
        <w:t>made</w:t>
      </w:r>
      <w:r>
        <w:rPr>
          <w:spacing w:val="-2"/>
        </w:rPr>
        <w:t> </w:t>
      </w:r>
      <w:r>
        <w:rPr/>
        <w:t>herein.</w:t>
      </w:r>
    </w:p>
    <w:p>
      <w:pPr>
        <w:spacing w:before="142"/>
        <w:ind w:left="721" w:right="0" w:firstLine="0"/>
        <w:jc w:val="both"/>
        <w:rPr>
          <w:sz w:val="16"/>
        </w:rPr>
      </w:pPr>
      <w:r>
        <w:rPr>
          <w:sz w:val="16"/>
        </w:rPr>
        <w:t>©</w:t>
      </w:r>
      <w:r>
        <w:rPr>
          <w:spacing w:val="-6"/>
          <w:sz w:val="16"/>
        </w:rPr>
        <w:t> </w:t>
      </w:r>
      <w:r>
        <w:rPr>
          <w:sz w:val="16"/>
        </w:rPr>
        <w:t>2024</w:t>
      </w:r>
      <w:r>
        <w:rPr>
          <w:spacing w:val="-5"/>
          <w:sz w:val="16"/>
        </w:rPr>
        <w:t> </w:t>
      </w:r>
      <w:r>
        <w:rPr>
          <w:sz w:val="16"/>
        </w:rPr>
        <w:t>Bank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America</w:t>
      </w:r>
      <w:r>
        <w:rPr>
          <w:spacing w:val="-6"/>
          <w:sz w:val="16"/>
        </w:rPr>
        <w:t> </w:t>
      </w:r>
      <w:r>
        <w:rPr>
          <w:sz w:val="16"/>
        </w:rPr>
        <w:t>Corporation.</w:t>
      </w:r>
      <w:r>
        <w:rPr>
          <w:spacing w:val="-5"/>
          <w:sz w:val="16"/>
        </w:rPr>
        <w:t> </w:t>
      </w:r>
      <w:r>
        <w:rPr>
          <w:sz w:val="16"/>
        </w:rPr>
        <w:t>All</w:t>
      </w:r>
      <w:r>
        <w:rPr>
          <w:spacing w:val="-5"/>
          <w:sz w:val="16"/>
        </w:rPr>
        <w:t> </w:t>
      </w:r>
      <w:r>
        <w:rPr>
          <w:sz w:val="16"/>
        </w:rPr>
        <w:t>rights</w:t>
      </w:r>
      <w:r>
        <w:rPr>
          <w:spacing w:val="-6"/>
          <w:sz w:val="16"/>
        </w:rPr>
        <w:t> </w:t>
      </w:r>
      <w:r>
        <w:rPr>
          <w:sz w:val="16"/>
        </w:rPr>
        <w:t>reserved.</w:t>
      </w:r>
      <w:r>
        <w:rPr>
          <w:spacing w:val="-5"/>
          <w:sz w:val="16"/>
        </w:rPr>
        <w:t> </w:t>
      </w:r>
      <w:r>
        <w:rPr>
          <w:sz w:val="16"/>
        </w:rPr>
        <w:t>|</w:t>
      </w:r>
      <w:r>
        <w:rPr>
          <w:spacing w:val="2"/>
          <w:sz w:val="16"/>
        </w:rPr>
        <w:t> </w:t>
      </w:r>
      <w:r>
        <w:rPr>
          <w:sz w:val="16"/>
        </w:rPr>
        <w:t>MAP6301404</w:t>
      </w:r>
      <w:r>
        <w:rPr>
          <w:spacing w:val="-3"/>
          <w:sz w:val="16"/>
        </w:rPr>
        <w:t> </w:t>
      </w:r>
      <w:r>
        <w:rPr>
          <w:sz w:val="16"/>
        </w:rPr>
        <w:t>|</w:t>
      </w:r>
      <w:r>
        <w:rPr>
          <w:spacing w:val="-5"/>
          <w:sz w:val="16"/>
        </w:rPr>
        <w:t> </w:t>
      </w:r>
      <w:r>
        <w:rPr>
          <w:sz w:val="16"/>
        </w:rPr>
        <w:t>410900PM-0424</w:t>
      </w:r>
    </w:p>
    <w:p>
      <w:pPr>
        <w:spacing w:before="129"/>
        <w:ind w:left="731" w:right="4273" w:hanging="1"/>
        <w:jc w:val="left"/>
        <w:rPr>
          <w:sz w:val="16"/>
        </w:rPr>
      </w:pPr>
      <w:r>
        <w:rPr/>
        <w:drawing>
          <wp:inline distT="0" distB="0" distL="0" distR="0">
            <wp:extent cx="109207" cy="108572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07" cy="10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color w:val="050404"/>
          <w:sz w:val="16"/>
        </w:rPr>
        <w:t>To learn about Bank of America’s environmental goals and initiatives, go to </w:t>
      </w:r>
      <w:hyperlink r:id="rId10">
        <w:r>
          <w:rPr>
            <w:color w:val="0000FF"/>
            <w:sz w:val="16"/>
            <w:u w:val="single" w:color="0000FF"/>
          </w:rPr>
          <w:t>bankofamerica.com/environment</w:t>
        </w:r>
      </w:hyperlink>
      <w:r>
        <w:rPr>
          <w:color w:val="050404"/>
          <w:sz w:val="16"/>
        </w:rPr>
        <w:t>.</w:t>
      </w:r>
      <w:r>
        <w:rPr>
          <w:color w:val="050404"/>
          <w:spacing w:val="-35"/>
          <w:sz w:val="16"/>
        </w:rPr>
        <w:t> </w:t>
      </w:r>
      <w:r>
        <w:rPr>
          <w:color w:val="050404"/>
          <w:sz w:val="16"/>
        </w:rPr>
        <w:t>Leaf</w:t>
      </w:r>
      <w:r>
        <w:rPr>
          <w:color w:val="050404"/>
          <w:spacing w:val="-2"/>
          <w:sz w:val="16"/>
        </w:rPr>
        <w:t> </w:t>
      </w:r>
      <w:r>
        <w:rPr>
          <w:color w:val="050404"/>
          <w:sz w:val="16"/>
        </w:rPr>
        <w:t>icon</w:t>
      </w:r>
      <w:r>
        <w:rPr>
          <w:color w:val="050404"/>
          <w:spacing w:val="-1"/>
          <w:sz w:val="16"/>
        </w:rPr>
        <w:t> </w:t>
      </w:r>
      <w:r>
        <w:rPr>
          <w:color w:val="050404"/>
          <w:sz w:val="16"/>
        </w:rPr>
        <w:t>is</w:t>
      </w:r>
      <w:r>
        <w:rPr>
          <w:color w:val="050404"/>
          <w:spacing w:val="-2"/>
          <w:sz w:val="16"/>
        </w:rPr>
        <w:t> </w:t>
      </w:r>
      <w:r>
        <w:rPr>
          <w:color w:val="050404"/>
          <w:sz w:val="16"/>
        </w:rPr>
        <w:t>a</w:t>
      </w:r>
      <w:r>
        <w:rPr>
          <w:color w:val="050404"/>
          <w:spacing w:val="-1"/>
          <w:sz w:val="16"/>
        </w:rPr>
        <w:t> </w:t>
      </w:r>
      <w:r>
        <w:rPr>
          <w:color w:val="050404"/>
          <w:sz w:val="16"/>
        </w:rPr>
        <w:t>trademark</w:t>
      </w:r>
      <w:r>
        <w:rPr>
          <w:color w:val="050404"/>
          <w:spacing w:val="-1"/>
          <w:sz w:val="16"/>
        </w:rPr>
        <w:t> </w:t>
      </w:r>
      <w:r>
        <w:rPr>
          <w:color w:val="050404"/>
          <w:sz w:val="16"/>
        </w:rPr>
        <w:t>of</w:t>
      </w:r>
      <w:r>
        <w:rPr>
          <w:color w:val="050404"/>
          <w:spacing w:val="-2"/>
          <w:sz w:val="16"/>
        </w:rPr>
        <w:t> </w:t>
      </w:r>
      <w:r>
        <w:rPr>
          <w:color w:val="050404"/>
          <w:sz w:val="16"/>
        </w:rPr>
        <w:t>Bank</w:t>
      </w:r>
      <w:r>
        <w:rPr>
          <w:color w:val="050404"/>
          <w:spacing w:val="-1"/>
          <w:sz w:val="16"/>
        </w:rPr>
        <w:t> </w:t>
      </w:r>
      <w:r>
        <w:rPr>
          <w:color w:val="050404"/>
          <w:sz w:val="16"/>
        </w:rPr>
        <w:t>of</w:t>
      </w:r>
      <w:r>
        <w:rPr>
          <w:color w:val="050404"/>
          <w:spacing w:val="-1"/>
          <w:sz w:val="16"/>
        </w:rPr>
        <w:t> </w:t>
      </w:r>
      <w:r>
        <w:rPr>
          <w:color w:val="050404"/>
          <w:sz w:val="16"/>
        </w:rPr>
        <w:t>America</w:t>
      </w:r>
      <w:r>
        <w:rPr>
          <w:color w:val="050404"/>
          <w:spacing w:val="-2"/>
          <w:sz w:val="16"/>
        </w:rPr>
        <w:t> </w:t>
      </w:r>
      <w:r>
        <w:rPr>
          <w:color w:val="050404"/>
          <w:sz w:val="16"/>
        </w:rPr>
        <w:t>Corporation.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  <w:r>
        <w:rPr/>
        <w:pict>
          <v:group style="position:absolute;margin-left:36.200001pt;margin-top:16.538086pt;width:110.55pt;height:31.45pt;mso-position-horizontal-relative:page;mso-position-vertical-relative:paragraph;z-index:-15727104;mso-wrap-distance-left:0;mso-wrap-distance-right:0" coordorigin="724,331" coordsize="2211,629">
            <v:shape style="position:absolute;left:737;top:589;width:1435;height:195" coordorigin="737,590" coordsize="1435,195" path="m793,590l737,590,737,785,780,785,780,654,823,654,793,590xm823,654l780,654,843,785,886,695,843,695,823,654xm949,654l905,654,905,785,949,785,949,654xm949,590l894,590,843,695,886,695,905,654,949,654,949,590xm1175,590l1041,590,1041,785,1174,785,1174,747,1088,747,1088,704,1156,704,1156,668,1088,668,1088,627,1167,627,1175,590xm1328,590l1253,590,1253,785,1299,785,1299,708,1361,708,1358,702,1375,694,1387,683,1391,676,1299,676,1299,626,1393,626,1393,624,1381,606,1359,594,1328,590xm1361,708l1312,708,1355,785,1406,785,1361,708xm1393,626l1339,626,1349,634,1349,667,1339,676,1391,676,1395,667,1397,649,1393,626xm1552,590l1477,590,1477,785,1524,785,1524,708,1586,708,1582,702,1599,694,1611,683,1615,676,1524,676,1524,626,1617,626,1617,624,1605,606,1583,594,1552,590xm1586,708l1536,708,1579,785,1631,785,1586,708xm1617,626l1563,626,1574,634,1574,667,1563,676,1615,676,1619,667,1621,649,1617,626xm1749,590l1702,590,1702,785,1749,785,1749,590xm1889,590l1841,590,1841,785,1973,785,1973,746,1889,746,1889,590xm2088,590l2041,590,2041,785,2172,785,2172,746,2088,746,2088,590xe" filled="true" fillcolor="#002068" stroked="false">
              <v:path arrowok="t"/>
              <v:fill type="solid"/>
            </v:shape>
            <v:shape style="position:absolute;left:724;top:330;width:2211;height:629" type="#_x0000_t75" stroked="false">
              <v:imagedata r:id="rId11" o:title=""/>
            </v:shape>
            <w10:wrap type="topAndBottom"/>
          </v:group>
        </w:pict>
      </w:r>
    </w:p>
    <w:sectPr>
      <w:pgSz w:w="12240" w:h="15840"/>
      <w:pgMar w:header="0" w:footer="522" w:top="900" w:bottom="7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47616" from="19.1pt,752.299988pt" to="591.7pt,752.299988pt" stroked="true" strokeweight=".75pt" strokecolor="#000000">
          <v:stroke dashstyle="solid"/>
          <w10:wrap type="none"/>
        </v:line>
      </w:pict>
    </w:r>
    <w:r>
      <w:rPr/>
      <w:pict>
        <v:shape style="position:absolute;margin-left:534.031982pt;margin-top:757.150024pt;width:40.550pt;height:10pt;mso-position-horizontal-relative:page;mso-position-vertical-relative:page;z-index:-16047104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7"/>
      <w:outlineLvl w:val="1"/>
    </w:pPr>
    <w:rPr>
      <w:rFonts w:ascii="Calibri" w:hAnsi="Calibri" w:eastAsia="Calibri" w:cs="Calibri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21"/>
    </w:pPr>
    <w:rPr>
      <w:rFonts w:ascii="Calibri" w:hAnsi="Calibri" w:eastAsia="Calibri" w:cs="Calibri"/>
      <w:b/>
      <w:bCs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  <w:ind w:left="9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olui2.fs.ml.com/publish/content/application/pdf/GWMOL/Sweep-Program.pdf" TargetMode="External"/><Relationship Id="rId8" Type="http://schemas.openxmlformats.org/officeDocument/2006/relationships/footer" Target="footer1.xml"/><Relationship Id="rId9" Type="http://schemas.openxmlformats.org/officeDocument/2006/relationships/image" Target="media/image3.png"/><Relationship Id="rId10" Type="http://schemas.openxmlformats.org/officeDocument/2006/relationships/hyperlink" Target="http://www.bankofamerica.com/environment" TargetMode="External"/><Relationship Id="rId1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Katelynne Cooper</dc:creator>
  <dc:title>Cash Management Solutions</dc:title>
  <dcterms:created xsi:type="dcterms:W3CDTF">2024-11-01T06:55:27Z</dcterms:created>
  <dcterms:modified xsi:type="dcterms:W3CDTF">2024-11-01T06:55:27Z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2024-10-30T00:00:00Z</vt:filetime>
  </property>
</Properties>
</file>