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55" w:rsidRDefault="00D6043F" w:rsidP="00C61455">
      <w:pPr>
        <w:tabs>
          <w:tab w:val="left" w:pos="0"/>
        </w:tabs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.3pt;margin-top:-1.05pt;width:761.55pt;height:86.55pt;z-index:251666432;mso-width-relative:margin;mso-height-relative:margin" fillcolor="#974706 [1609]" stroked="f">
            <v:textbox>
              <w:txbxContent>
                <w:p w:rsidR="00D6043F" w:rsidRPr="00D6043F" w:rsidRDefault="00D6043F" w:rsidP="00D6043F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118"/>
                    </w:rPr>
                  </w:pPr>
                  <w:r w:rsidRPr="00D6043F">
                    <w:rPr>
                      <w:rFonts w:asciiTheme="majorHAnsi" w:hAnsiTheme="majorHAnsi"/>
                      <w:b/>
                      <w:color w:val="FFFFFF" w:themeColor="background1"/>
                      <w:sz w:val="118"/>
                    </w:rPr>
                    <w:t>Project Tracking Template</w:t>
                  </w:r>
                </w:p>
              </w:txbxContent>
            </v:textbox>
          </v:shape>
        </w:pict>
      </w:r>
    </w:p>
    <w:p w:rsidR="002D014E" w:rsidRDefault="00696FF3">
      <w:r>
        <w:rPr>
          <w:noProof/>
          <w:lang w:eastAsia="zh-TW"/>
        </w:rPr>
        <w:pict>
          <v:shape id="_x0000_s1026" type="#_x0000_t202" style="position:absolute;margin-left:-15.25pt;margin-top:76.55pt;width:783.05pt;height:82.1pt;z-index:251660288;mso-width-relative:margin;mso-height-relative:margin">
            <v:textbox style="mso-next-textbox:#_x0000_s1026">
              <w:txbxContent>
                <w:tbl>
                  <w:tblPr>
                    <w:tblW w:w="15403" w:type="dxa"/>
                    <w:tblInd w:w="103" w:type="dxa"/>
                    <w:shd w:val="clear" w:color="auto" w:fill="E36C0A" w:themeFill="accent6" w:themeFillShade="BF"/>
                    <w:tblLook w:val="04A0"/>
                  </w:tblPr>
                  <w:tblGrid>
                    <w:gridCol w:w="9386"/>
                    <w:gridCol w:w="2031"/>
                    <w:gridCol w:w="2050"/>
                    <w:gridCol w:w="1936"/>
                  </w:tblGrid>
                  <w:tr w:rsidR="00C61455" w:rsidRPr="00C61455" w:rsidTr="00C61455">
                    <w:trPr>
                      <w:trHeight w:val="635"/>
                    </w:trPr>
                    <w:tc>
                      <w:tcPr>
                        <w:tcW w:w="9386" w:type="dxa"/>
                        <w:vMerge w:val="restart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noWrap/>
                        <w:vAlign w:val="center"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ind w:firstLineChars="100" w:firstLine="562"/>
                          <w:rPr>
                            <w:rFonts w:ascii="Calibri" w:eastAsia="Times New Roman" w:hAnsi="Calibri" w:cs="Calibri"/>
                            <w:color w:val="FFFFFF"/>
                            <w:sz w:val="56"/>
                            <w:szCs w:val="56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b/>
                            <w:bCs/>
                            <w:color w:val="5BD2D5"/>
                            <w:sz w:val="56"/>
                            <w:szCs w:val="56"/>
                          </w:rPr>
                          <w:t>OPEN</w:t>
                        </w:r>
                        <w:r w:rsidRPr="00C61455"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56"/>
                            <w:szCs w:val="56"/>
                          </w:rPr>
                          <w:t xml:space="preserve"> vs. </w:t>
                        </w:r>
                        <w:r w:rsidRPr="00C61455">
                          <w:rPr>
                            <w:rFonts w:ascii="Calibri" w:eastAsia="Times New Roman" w:hAnsi="Calibri" w:cs="Calibri"/>
                            <w:b/>
                            <w:bCs/>
                            <w:color w:val="FCB606"/>
                            <w:sz w:val="56"/>
                            <w:szCs w:val="56"/>
                          </w:rPr>
                          <w:t>CLOSED</w:t>
                        </w: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56"/>
                            <w:szCs w:val="56"/>
                          </w:rPr>
                          <w:t xml:space="preserve"> ISSUE TRACKER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noWrap/>
                        <w:vAlign w:val="bottom"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ind w:firstLineChars="100" w:firstLine="381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38"/>
                            <w:szCs w:val="38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38"/>
                            <w:szCs w:val="38"/>
                          </w:rPr>
                          <w:t>TYPE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noWrap/>
                        <w:vAlign w:val="bottom"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ind w:firstLineChars="100" w:firstLine="381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38"/>
                            <w:szCs w:val="38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38"/>
                            <w:szCs w:val="38"/>
                          </w:rPr>
                          <w:t>PRIORITY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noWrap/>
                        <w:vAlign w:val="bottom"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ind w:firstLineChars="100" w:firstLine="381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38"/>
                            <w:szCs w:val="38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38"/>
                            <w:szCs w:val="38"/>
                          </w:rPr>
                          <w:t>DATE</w:t>
                        </w:r>
                      </w:p>
                    </w:tc>
                  </w:tr>
                  <w:tr w:rsidR="00C61455" w:rsidRPr="00C61455" w:rsidTr="00C61455">
                    <w:trPr>
                      <w:trHeight w:val="429"/>
                    </w:trPr>
                    <w:tc>
                      <w:tcPr>
                        <w:tcW w:w="9386" w:type="dxa"/>
                        <w:vMerge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vAlign w:val="center"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FFFFFF"/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2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noWrap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ind w:firstLineChars="100" w:firstLine="260"/>
                          <w:rPr>
                            <w:rFonts w:ascii="Calibri" w:eastAsia="Times New Roman" w:hAnsi="Calibri" w:cs="Calibri"/>
                            <w:color w:val="FFFFFF"/>
                            <w:sz w:val="26"/>
                            <w:szCs w:val="26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6"/>
                            <w:szCs w:val="26"/>
                          </w:rPr>
                          <w:t>*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noWrap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ind w:firstLineChars="100" w:firstLine="260"/>
                          <w:rPr>
                            <w:rFonts w:ascii="Calibri" w:eastAsia="Times New Roman" w:hAnsi="Calibri" w:cs="Calibri"/>
                            <w:color w:val="FFFFFF"/>
                            <w:sz w:val="26"/>
                            <w:szCs w:val="26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6"/>
                            <w:szCs w:val="26"/>
                          </w:rPr>
                          <w:t>*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36C0A" w:themeFill="accent6" w:themeFillShade="BF"/>
                        <w:noWrap/>
                        <w:hideMark/>
                      </w:tcPr>
                      <w:p w:rsidR="00C61455" w:rsidRPr="00C61455" w:rsidRDefault="00C61455" w:rsidP="00C61455">
                        <w:pPr>
                          <w:spacing w:after="0" w:line="240" w:lineRule="auto"/>
                          <w:ind w:firstLineChars="100" w:firstLine="260"/>
                          <w:rPr>
                            <w:rFonts w:ascii="Calibri" w:eastAsia="Times New Roman" w:hAnsi="Calibri" w:cs="Calibri"/>
                            <w:color w:val="FFFFFF"/>
                            <w:sz w:val="26"/>
                            <w:szCs w:val="26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6"/>
                            <w:szCs w:val="26"/>
                          </w:rPr>
                          <w:t>5/30/2013</w:t>
                        </w:r>
                      </w:p>
                    </w:tc>
                  </w:tr>
                </w:tbl>
                <w:p w:rsidR="00C61455" w:rsidRDefault="00C61455"/>
              </w:txbxContent>
            </v:textbox>
          </v:shape>
        </w:pict>
      </w:r>
      <w:r w:rsidR="002D014E">
        <w:rPr>
          <w:noProof/>
          <w:lang w:eastAsia="zh-TW"/>
        </w:rPr>
        <w:pict>
          <v:shape id="_x0000_s1027" type="#_x0000_t202" style="position:absolute;margin-left:-10.25pt;margin-top:184.55pt;width:773.55pt;height:331.5pt;z-index:251662336;mso-width-relative:margin;mso-height-relative:margin">
            <v:textbox>
              <w:txbxContent>
                <w:p w:rsidR="00C61455" w:rsidRDefault="00C61455">
                  <w:r w:rsidRPr="00C61455">
                    <w:drawing>
                      <wp:inline distT="0" distB="0" distL="0" distR="0">
                        <wp:extent cx="9772650" cy="4191000"/>
                        <wp:effectExtent l="19050" t="0" r="19050" b="0"/>
                        <wp:docPr id="2" name="Chart 2" descr="LIne chart that plots Opened vs. Closed issues per day for a given time frame.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1455">
        <w:br w:type="page"/>
      </w:r>
    </w:p>
    <w:p w:rsidR="00FF06DA" w:rsidRDefault="002D014E" w:rsidP="002D014E">
      <w:r>
        <w:rPr>
          <w:noProof/>
          <w:lang w:eastAsia="zh-TW"/>
        </w:rPr>
        <w:lastRenderedPageBreak/>
        <w:pict>
          <v:shape id="_x0000_s1028" type="#_x0000_t202" style="position:absolute;margin-left:1.5pt;margin-top:43.5pt;width:739.5pt;height:496.5pt;z-index:251664384;mso-width-relative:margin;mso-height-relative:margin">
            <v:textbox style="mso-next-textbox:#_x0000_s1028">
              <w:txbxContent>
                <w:tbl>
                  <w:tblPr>
                    <w:tblStyle w:val="MediumGrid3-Accent6"/>
                    <w:tblW w:w="14430" w:type="dxa"/>
                    <w:tblLook w:val="04A0"/>
                  </w:tblPr>
                  <w:tblGrid>
                    <w:gridCol w:w="771"/>
                    <w:gridCol w:w="1603"/>
                    <w:gridCol w:w="1553"/>
                    <w:gridCol w:w="1827"/>
                    <w:gridCol w:w="2283"/>
                    <w:gridCol w:w="2192"/>
                    <w:gridCol w:w="2192"/>
                    <w:gridCol w:w="2009"/>
                  </w:tblGrid>
                  <w:tr w:rsidR="002D014E" w:rsidRPr="00C61455" w:rsidTr="00D6043F">
                    <w:trPr>
                      <w:cnfStyle w:val="100000000000"/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  <w:t>#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cnfStyle w:val="100000000000"/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  <w:t>ISSUE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cnfStyle w:val="100000000000"/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  <w:t>TYPE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cnfStyle w:val="100000000000"/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  <w:t>PRIORITY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cnfStyle w:val="100000000000"/>
                          <w:rPr>
                            <w:rFonts w:ascii="Calibri" w:eastAsia="Times New Roman" w:hAnsi="Calibri" w:cs="Calibri"/>
                            <w:color w:val="5BD2D5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5BD2D5"/>
                            <w:sz w:val="32"/>
                            <w:szCs w:val="32"/>
                          </w:rPr>
                          <w:t>OPENED ON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cnfStyle w:val="100000000000"/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  <w:t>OPENED BY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cnfStyle w:val="100000000000"/>
                          <w:rPr>
                            <w:rFonts w:ascii="Calibri" w:eastAsia="Times New Roman" w:hAnsi="Calibri" w:cs="Calibri"/>
                            <w:color w:val="FCB606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CB606"/>
                            <w:sz w:val="32"/>
                            <w:szCs w:val="32"/>
                          </w:rPr>
                          <w:t>CLOSED ON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321"/>
                          <w:cnfStyle w:val="100000000000"/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32"/>
                            <w:szCs w:val="32"/>
                          </w:rPr>
                          <w:t>CLOSED BY</w:t>
                        </w:r>
                      </w:p>
                    </w:tc>
                  </w:tr>
                  <w:tr w:rsidR="002D014E" w:rsidRPr="00C61455" w:rsidTr="00D6043F">
                    <w:trPr>
                      <w:cnfStyle w:val="000000100000"/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#1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2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Medium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James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2/4/2013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James</w:t>
                        </w:r>
                      </w:p>
                    </w:tc>
                  </w:tr>
                  <w:tr w:rsidR="002D014E" w:rsidRPr="00C61455" w:rsidTr="00D6043F">
                    <w:trPr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#2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2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Low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Kim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James</w:t>
                        </w:r>
                      </w:p>
                    </w:tc>
                  </w:tr>
                  <w:tr w:rsidR="002D014E" w:rsidRPr="00C61455" w:rsidTr="00D6043F">
                    <w:trPr>
                      <w:cnfStyle w:val="000000100000"/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#3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3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jc w:val="center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Low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2/4/2013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Lilly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2/4/2013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Lilly</w:t>
                        </w:r>
                      </w:p>
                    </w:tc>
                  </w:tr>
                  <w:tr w:rsidR="002D014E" w:rsidRPr="00C61455" w:rsidTr="00D6043F">
                    <w:trPr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#4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1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Medium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2/4/2013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Lilly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2/5/2013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Lilly</w:t>
                        </w:r>
                      </w:p>
                    </w:tc>
                  </w:tr>
                  <w:tr w:rsidR="002D014E" w:rsidRPr="00C61455" w:rsidTr="00D6043F">
                    <w:trPr>
                      <w:cnfStyle w:val="000000100000"/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#5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1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Medium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2/4/2013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James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2/4/2013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Ted</w:t>
                        </w:r>
                      </w:p>
                    </w:tc>
                  </w:tr>
                  <w:tr w:rsidR="002D014E" w:rsidRPr="00C61455" w:rsidTr="00D6043F">
                    <w:trPr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#6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1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Low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2/8/2013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Ted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2/8/2013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James</w:t>
                        </w:r>
                      </w:p>
                    </w:tc>
                  </w:tr>
                  <w:tr w:rsidR="002D014E" w:rsidRPr="00C61455" w:rsidTr="00D6043F">
                    <w:trPr>
                      <w:cnfStyle w:val="000000100000"/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#7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1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High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2/8/2013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Kim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2/13/2013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James</w:t>
                        </w:r>
                      </w:p>
                    </w:tc>
                  </w:tr>
                  <w:tr w:rsidR="002D014E" w:rsidRPr="00C61455" w:rsidTr="00D6043F">
                    <w:trPr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#8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2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Medium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2/8/2013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Kim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2/11/2013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James</w:t>
                        </w:r>
                      </w:p>
                    </w:tc>
                  </w:tr>
                  <w:tr w:rsidR="002D014E" w:rsidRPr="00C61455" w:rsidTr="00D6043F">
                    <w:trPr>
                      <w:cnfStyle w:val="000000100000"/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#9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3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Medium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2/8/2013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Kim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2/11/2013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1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Kim</w:t>
                        </w:r>
                      </w:p>
                    </w:tc>
                  </w:tr>
                  <w:tr w:rsidR="002D014E" w:rsidRPr="00C61455" w:rsidTr="00D6043F">
                    <w:trPr>
                      <w:trHeight w:val="826"/>
                    </w:trPr>
                    <w:tc>
                      <w:tcPr>
                        <w:cnfStyle w:val="001000000000"/>
                        <w:tcW w:w="771" w:type="dxa"/>
                        <w:noWrap/>
                        <w:hideMark/>
                      </w:tcPr>
                      <w:p w:rsidR="002D014E" w:rsidRPr="00C61455" w:rsidRDefault="002D014E" w:rsidP="002D014E">
                        <w:pPr>
                          <w:ind w:firstLineChars="100" w:firstLine="241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60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Issue #10</w:t>
                        </w:r>
                      </w:p>
                    </w:tc>
                    <w:tc>
                      <w:tcPr>
                        <w:tcW w:w="155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Type 4</w:t>
                        </w:r>
                      </w:p>
                    </w:tc>
                    <w:tc>
                      <w:tcPr>
                        <w:tcW w:w="1827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High</w:t>
                        </w:r>
                      </w:p>
                    </w:tc>
                    <w:tc>
                      <w:tcPr>
                        <w:tcW w:w="2283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2/12/2013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Ted</w:t>
                        </w:r>
                      </w:p>
                    </w:tc>
                    <w:tc>
                      <w:tcPr>
                        <w:tcW w:w="2192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2/12/2013</w:t>
                        </w:r>
                      </w:p>
                    </w:tc>
                    <w:tc>
                      <w:tcPr>
                        <w:tcW w:w="2009" w:type="dxa"/>
                        <w:noWrap/>
                        <w:hideMark/>
                      </w:tcPr>
                      <w:p w:rsidR="002D014E" w:rsidRPr="00C61455" w:rsidRDefault="002D014E" w:rsidP="00C61455">
                        <w:pPr>
                          <w:ind w:firstLineChars="100" w:firstLine="240"/>
                          <w:cnfStyle w:val="000000000000"/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</w:pPr>
                        <w:r w:rsidRPr="00C61455">
                          <w:rPr>
                            <w:rFonts w:ascii="Calibri" w:eastAsia="Times New Roman" w:hAnsi="Calibri" w:cs="Calibri"/>
                            <w:color w:val="FFFFFF"/>
                            <w:sz w:val="24"/>
                            <w:szCs w:val="24"/>
                          </w:rPr>
                          <w:t>Lilly</w:t>
                        </w:r>
                      </w:p>
                    </w:tc>
                  </w:tr>
                </w:tbl>
                <w:p w:rsidR="00C61455" w:rsidRDefault="00C61455"/>
              </w:txbxContent>
            </v:textbox>
          </v:shape>
        </w:pict>
      </w:r>
    </w:p>
    <w:sectPr w:rsidR="00FF06DA" w:rsidSect="00C61455">
      <w:pgSz w:w="15840" w:h="12240" w:orient="landscape"/>
      <w:pgMar w:top="450" w:right="18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61455"/>
    <w:rsid w:val="002D014E"/>
    <w:rsid w:val="00696FF3"/>
    <w:rsid w:val="00C61455"/>
    <w:rsid w:val="00D6043F"/>
    <w:rsid w:val="00FF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55"/>
    <w:rPr>
      <w:rFonts w:ascii="Tahoma" w:hAnsi="Tahoma" w:cs="Tahoma"/>
      <w:sz w:val="16"/>
      <w:szCs w:val="16"/>
    </w:rPr>
  </w:style>
  <w:style w:type="table" w:styleId="MediumGrid3-Accent6">
    <w:name w:val="Medium Grid 3 Accent 6"/>
    <w:basedOn w:val="TableNormal"/>
    <w:uiPriority w:val="69"/>
    <w:rsid w:val="002D0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roject%20tracking%20template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6"/>
  <c:chart>
    <c:autoTitleDeleted val="1"/>
    <c:plotArea>
      <c:layout>
        <c:manualLayout>
          <c:layoutTarget val="inner"/>
          <c:xMode val="edge"/>
          <c:yMode val="edge"/>
          <c:x val="1.8809252851585481E-2"/>
          <c:y val="0"/>
          <c:w val="0.97886606699030954"/>
          <c:h val="0.94944925634295763"/>
        </c:manualLayout>
      </c:layout>
      <c:areaChart>
        <c:grouping val="standard"/>
        <c:ser>
          <c:idx val="4"/>
          <c:order val="4"/>
          <c:tx>
            <c:v>Closed Area</c:v>
          </c:tx>
          <c:val>
            <c:numRef>
              <c:f>[0]!closed</c:f>
              <c:numCache>
                <c:formatCode>General</c:formatCode>
                <c:ptCount val="3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8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</c:v>
                </c:pt>
                <c:pt idx="20">
                  <c:v>12</c:v>
                </c:pt>
                <c:pt idx="21">
                  <c:v>12</c:v>
                </c:pt>
                <c:pt idx="22">
                  <c:v>12</c:v>
                </c:pt>
                <c:pt idx="23">
                  <c:v>12</c:v>
                </c:pt>
                <c:pt idx="24">
                  <c:v>13</c:v>
                </c:pt>
                <c:pt idx="25">
                  <c:v>14</c:v>
                </c:pt>
                <c:pt idx="26">
                  <c:v>14</c:v>
                </c:pt>
                <c:pt idx="27">
                  <c:v>14</c:v>
                </c:pt>
                <c:pt idx="28">
                  <c:v>14</c:v>
                </c:pt>
                <c:pt idx="29">
                  <c:v>14</c:v>
                </c:pt>
              </c:numCache>
            </c:numRef>
          </c:val>
        </c:ser>
        <c:axId val="140089984"/>
        <c:axId val="140096640"/>
      </c:areaChart>
      <c:lineChart>
        <c:grouping val="standard"/>
        <c:ser>
          <c:idx val="0"/>
          <c:order val="0"/>
          <c:tx>
            <c:strRef>
              <c:f>'[project tracking template1]calculations'!$I$14</c:f>
              <c:strCache>
                <c:ptCount val="1"/>
                <c:pt idx="0">
                  <c:v>Opened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[0]!dates</c:f>
              <c:numCache>
                <c:formatCode>m/d/yyyy</c:formatCode>
                <c:ptCount val="30"/>
                <c:pt idx="0">
                  <c:v>41395</c:v>
                </c:pt>
                <c:pt idx="1">
                  <c:v>41396</c:v>
                </c:pt>
                <c:pt idx="2">
                  <c:v>41397</c:v>
                </c:pt>
                <c:pt idx="3">
                  <c:v>41398</c:v>
                </c:pt>
                <c:pt idx="4">
                  <c:v>41399</c:v>
                </c:pt>
                <c:pt idx="5">
                  <c:v>41400</c:v>
                </c:pt>
                <c:pt idx="6">
                  <c:v>41401</c:v>
                </c:pt>
                <c:pt idx="7">
                  <c:v>41402</c:v>
                </c:pt>
                <c:pt idx="8">
                  <c:v>41403</c:v>
                </c:pt>
                <c:pt idx="9">
                  <c:v>41404</c:v>
                </c:pt>
                <c:pt idx="10">
                  <c:v>41405</c:v>
                </c:pt>
                <c:pt idx="11">
                  <c:v>41406</c:v>
                </c:pt>
                <c:pt idx="12">
                  <c:v>41407</c:v>
                </c:pt>
                <c:pt idx="13">
                  <c:v>41408</c:v>
                </c:pt>
                <c:pt idx="14">
                  <c:v>41409</c:v>
                </c:pt>
                <c:pt idx="15">
                  <c:v>41410</c:v>
                </c:pt>
                <c:pt idx="16">
                  <c:v>41411</c:v>
                </c:pt>
                <c:pt idx="17">
                  <c:v>41412</c:v>
                </c:pt>
                <c:pt idx="18">
                  <c:v>41413</c:v>
                </c:pt>
                <c:pt idx="19">
                  <c:v>41414</c:v>
                </c:pt>
                <c:pt idx="20">
                  <c:v>41415</c:v>
                </c:pt>
                <c:pt idx="21">
                  <c:v>41416</c:v>
                </c:pt>
                <c:pt idx="22">
                  <c:v>41417</c:v>
                </c:pt>
                <c:pt idx="23">
                  <c:v>41418</c:v>
                </c:pt>
                <c:pt idx="24">
                  <c:v>41419</c:v>
                </c:pt>
                <c:pt idx="25">
                  <c:v>41420</c:v>
                </c:pt>
                <c:pt idx="26">
                  <c:v>41421</c:v>
                </c:pt>
                <c:pt idx="27">
                  <c:v>41422</c:v>
                </c:pt>
                <c:pt idx="28">
                  <c:v>41423</c:v>
                </c:pt>
                <c:pt idx="29">
                  <c:v>41424</c:v>
                </c:pt>
              </c:numCache>
            </c:numRef>
          </c:cat>
          <c:val>
            <c:numRef>
              <c:f>[0]!opened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7</c:v>
                </c:pt>
                <c:pt idx="15">
                  <c:v>7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11</c:v>
                </c:pt>
                <c:pt idx="21">
                  <c:v>11</c:v>
                </c:pt>
                <c:pt idx="22">
                  <c:v>11</c:v>
                </c:pt>
                <c:pt idx="23">
                  <c:v>12</c:v>
                </c:pt>
                <c:pt idx="24">
                  <c:v>13</c:v>
                </c:pt>
                <c:pt idx="25">
                  <c:v>13</c:v>
                </c:pt>
                <c:pt idx="26">
                  <c:v>13</c:v>
                </c:pt>
                <c:pt idx="27">
                  <c:v>13</c:v>
                </c:pt>
                <c:pt idx="28">
                  <c:v>13</c:v>
                </c:pt>
                <c:pt idx="29">
                  <c:v>14</c:v>
                </c:pt>
              </c:numCache>
            </c:numRef>
          </c:val>
        </c:ser>
        <c:ser>
          <c:idx val="1"/>
          <c:order val="1"/>
          <c:tx>
            <c:strRef>
              <c:f>'[project tracking template1]calculations'!$J$14</c:f>
              <c:strCache>
                <c:ptCount val="1"/>
                <c:pt idx="0">
                  <c:v>Closed</c:v>
                </c:pt>
              </c:strCache>
            </c:strRef>
          </c:tx>
          <c:dLbls>
            <c:delete val="1"/>
          </c:dLbls>
          <c:cat>
            <c:numRef>
              <c:f>[0]!dates</c:f>
              <c:numCache>
                <c:formatCode>m/d/yyyy</c:formatCode>
                <c:ptCount val="30"/>
                <c:pt idx="0">
                  <c:v>41395</c:v>
                </c:pt>
                <c:pt idx="1">
                  <c:v>41396</c:v>
                </c:pt>
                <c:pt idx="2">
                  <c:v>41397</c:v>
                </c:pt>
                <c:pt idx="3">
                  <c:v>41398</c:v>
                </c:pt>
                <c:pt idx="4">
                  <c:v>41399</c:v>
                </c:pt>
                <c:pt idx="5">
                  <c:v>41400</c:v>
                </c:pt>
                <c:pt idx="6">
                  <c:v>41401</c:v>
                </c:pt>
                <c:pt idx="7">
                  <c:v>41402</c:v>
                </c:pt>
                <c:pt idx="8">
                  <c:v>41403</c:v>
                </c:pt>
                <c:pt idx="9">
                  <c:v>41404</c:v>
                </c:pt>
                <c:pt idx="10">
                  <c:v>41405</c:v>
                </c:pt>
                <c:pt idx="11">
                  <c:v>41406</c:v>
                </c:pt>
                <c:pt idx="12">
                  <c:v>41407</c:v>
                </c:pt>
                <c:pt idx="13">
                  <c:v>41408</c:v>
                </c:pt>
                <c:pt idx="14">
                  <c:v>41409</c:v>
                </c:pt>
                <c:pt idx="15">
                  <c:v>41410</c:v>
                </c:pt>
                <c:pt idx="16">
                  <c:v>41411</c:v>
                </c:pt>
                <c:pt idx="17">
                  <c:v>41412</c:v>
                </c:pt>
                <c:pt idx="18">
                  <c:v>41413</c:v>
                </c:pt>
                <c:pt idx="19">
                  <c:v>41414</c:v>
                </c:pt>
                <c:pt idx="20">
                  <c:v>41415</c:v>
                </c:pt>
                <c:pt idx="21">
                  <c:v>41416</c:v>
                </c:pt>
                <c:pt idx="22">
                  <c:v>41417</c:v>
                </c:pt>
                <c:pt idx="23">
                  <c:v>41418</c:v>
                </c:pt>
                <c:pt idx="24">
                  <c:v>41419</c:v>
                </c:pt>
                <c:pt idx="25">
                  <c:v>41420</c:v>
                </c:pt>
                <c:pt idx="26">
                  <c:v>41421</c:v>
                </c:pt>
                <c:pt idx="27">
                  <c:v>41422</c:v>
                </c:pt>
                <c:pt idx="28">
                  <c:v>41423</c:v>
                </c:pt>
                <c:pt idx="29">
                  <c:v>41424</c:v>
                </c:pt>
              </c:numCache>
            </c:numRef>
          </c:cat>
          <c:val>
            <c:numRef>
              <c:f>[0]!closed</c:f>
              <c:numCache>
                <c:formatCode>General</c:formatCode>
                <c:ptCount val="3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8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</c:v>
                </c:pt>
                <c:pt idx="20">
                  <c:v>12</c:v>
                </c:pt>
                <c:pt idx="21">
                  <c:v>12</c:v>
                </c:pt>
                <c:pt idx="22">
                  <c:v>12</c:v>
                </c:pt>
                <c:pt idx="23">
                  <c:v>12</c:v>
                </c:pt>
                <c:pt idx="24">
                  <c:v>13</c:v>
                </c:pt>
                <c:pt idx="25">
                  <c:v>14</c:v>
                </c:pt>
                <c:pt idx="26">
                  <c:v>14</c:v>
                </c:pt>
                <c:pt idx="27">
                  <c:v>14</c:v>
                </c:pt>
                <c:pt idx="28">
                  <c:v>14</c:v>
                </c:pt>
                <c:pt idx="29">
                  <c:v>14</c:v>
                </c:pt>
              </c:numCache>
            </c:numRef>
          </c:val>
        </c:ser>
        <c:ser>
          <c:idx val="2"/>
          <c:order val="2"/>
          <c:tx>
            <c:v>Opened Lables</c:v>
          </c:tx>
          <c:spPr>
            <a:ln w="47625">
              <a:noFill/>
            </a:ln>
          </c:spPr>
          <c:marker>
            <c:symbol val="none"/>
          </c:marker>
          <c:dLbls>
            <c:numFmt formatCode="#,##0" sourceLinked="0"/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[0]!dates</c:f>
              <c:numCache>
                <c:formatCode>m/d/yyyy</c:formatCode>
                <c:ptCount val="30"/>
                <c:pt idx="0">
                  <c:v>41395</c:v>
                </c:pt>
                <c:pt idx="1">
                  <c:v>41396</c:v>
                </c:pt>
                <c:pt idx="2">
                  <c:v>41397</c:v>
                </c:pt>
                <c:pt idx="3">
                  <c:v>41398</c:v>
                </c:pt>
                <c:pt idx="4">
                  <c:v>41399</c:v>
                </c:pt>
                <c:pt idx="5">
                  <c:v>41400</c:v>
                </c:pt>
                <c:pt idx="6">
                  <c:v>41401</c:v>
                </c:pt>
                <c:pt idx="7">
                  <c:v>41402</c:v>
                </c:pt>
                <c:pt idx="8">
                  <c:v>41403</c:v>
                </c:pt>
                <c:pt idx="9">
                  <c:v>41404</c:v>
                </c:pt>
                <c:pt idx="10">
                  <c:v>41405</c:v>
                </c:pt>
                <c:pt idx="11">
                  <c:v>41406</c:v>
                </c:pt>
                <c:pt idx="12">
                  <c:v>41407</c:v>
                </c:pt>
                <c:pt idx="13">
                  <c:v>41408</c:v>
                </c:pt>
                <c:pt idx="14">
                  <c:v>41409</c:v>
                </c:pt>
                <c:pt idx="15">
                  <c:v>41410</c:v>
                </c:pt>
                <c:pt idx="16">
                  <c:v>41411</c:v>
                </c:pt>
                <c:pt idx="17">
                  <c:v>41412</c:v>
                </c:pt>
                <c:pt idx="18">
                  <c:v>41413</c:v>
                </c:pt>
                <c:pt idx="19">
                  <c:v>41414</c:v>
                </c:pt>
                <c:pt idx="20">
                  <c:v>41415</c:v>
                </c:pt>
                <c:pt idx="21">
                  <c:v>41416</c:v>
                </c:pt>
                <c:pt idx="22">
                  <c:v>41417</c:v>
                </c:pt>
                <c:pt idx="23">
                  <c:v>41418</c:v>
                </c:pt>
                <c:pt idx="24">
                  <c:v>41419</c:v>
                </c:pt>
                <c:pt idx="25">
                  <c:v>41420</c:v>
                </c:pt>
                <c:pt idx="26">
                  <c:v>41421</c:v>
                </c:pt>
                <c:pt idx="27">
                  <c:v>41422</c:v>
                </c:pt>
                <c:pt idx="28">
                  <c:v>41423</c:v>
                </c:pt>
                <c:pt idx="29">
                  <c:v>41424</c:v>
                </c:pt>
              </c:numCache>
            </c:numRef>
          </c:cat>
          <c:val>
            <c:numRef>
              <c:f>[0]!opened_labels</c:f>
              <c:numCache>
                <c:formatCode>General</c:formatCode>
                <c:ptCount val="30"/>
                <c:pt idx="0">
                  <c:v>0.56000000000000005</c:v>
                </c:pt>
                <c:pt idx="1">
                  <c:v>0.56000000000000005</c:v>
                </c:pt>
                <c:pt idx="2">
                  <c:v>0.56000000000000005</c:v>
                </c:pt>
                <c:pt idx="3">
                  <c:v>0.56000000000000005</c:v>
                </c:pt>
                <c:pt idx="4">
                  <c:v>2.56</c:v>
                </c:pt>
                <c:pt idx="5">
                  <c:v>2.56</c:v>
                </c:pt>
                <c:pt idx="6">
                  <c:v>2.56</c:v>
                </c:pt>
                <c:pt idx="7">
                  <c:v>3.56</c:v>
                </c:pt>
                <c:pt idx="8">
                  <c:v>3.56</c:v>
                </c:pt>
                <c:pt idx="9">
                  <c:v>3.56</c:v>
                </c:pt>
                <c:pt idx="10">
                  <c:v>5.5600000000000005</c:v>
                </c:pt>
                <c:pt idx="11">
                  <c:v>6.5600000000000005</c:v>
                </c:pt>
                <c:pt idx="12">
                  <c:v>6.5600000000000005</c:v>
                </c:pt>
                <c:pt idx="13">
                  <c:v>6.5600000000000005</c:v>
                </c:pt>
                <c:pt idx="14">
                  <c:v>7.5600000000000005</c:v>
                </c:pt>
                <c:pt idx="15">
                  <c:v>7.5600000000000005</c:v>
                </c:pt>
                <c:pt idx="16">
                  <c:v>10.56</c:v>
                </c:pt>
                <c:pt idx="17">
                  <c:v>10.56</c:v>
                </c:pt>
                <c:pt idx="18">
                  <c:v>10.56</c:v>
                </c:pt>
                <c:pt idx="19">
                  <c:v>10.56</c:v>
                </c:pt>
                <c:pt idx="20">
                  <c:v>11.56</c:v>
                </c:pt>
                <c:pt idx="21">
                  <c:v>11.56</c:v>
                </c:pt>
                <c:pt idx="22">
                  <c:v>11.56</c:v>
                </c:pt>
                <c:pt idx="23">
                  <c:v>12.56</c:v>
                </c:pt>
                <c:pt idx="24">
                  <c:v>13.56</c:v>
                </c:pt>
                <c:pt idx="25">
                  <c:v>13.56</c:v>
                </c:pt>
                <c:pt idx="26">
                  <c:v>13.56</c:v>
                </c:pt>
                <c:pt idx="27">
                  <c:v>13.56</c:v>
                </c:pt>
                <c:pt idx="28">
                  <c:v>13.56</c:v>
                </c:pt>
                <c:pt idx="29">
                  <c:v>14.56</c:v>
                </c:pt>
              </c:numCache>
            </c:numRef>
          </c:val>
        </c:ser>
        <c:ser>
          <c:idx val="3"/>
          <c:order val="3"/>
          <c:tx>
            <c:v>Closed Labels</c:v>
          </c:tx>
          <c:spPr>
            <a:ln w="47625">
              <a:noFill/>
            </a:ln>
          </c:spPr>
          <c:marker>
            <c:symbol val="none"/>
          </c:marker>
          <c:dLbls>
            <c:numFmt formatCode="#,##0" sourceLinked="0"/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[0]!closed_labels</c:f>
              <c:numCache>
                <c:formatCode>General</c:formatCode>
                <c:ptCount val="30"/>
                <c:pt idx="0">
                  <c:v>1.56</c:v>
                </c:pt>
                <c:pt idx="1">
                  <c:v>1.56</c:v>
                </c:pt>
                <c:pt idx="2">
                  <c:v>1.56</c:v>
                </c:pt>
                <c:pt idx="3">
                  <c:v>1.56</c:v>
                </c:pt>
                <c:pt idx="4">
                  <c:v>2.56</c:v>
                </c:pt>
                <c:pt idx="5">
                  <c:v>2.56</c:v>
                </c:pt>
                <c:pt idx="6">
                  <c:v>2.56</c:v>
                </c:pt>
                <c:pt idx="7">
                  <c:v>2.56</c:v>
                </c:pt>
                <c:pt idx="8">
                  <c:v>3.56</c:v>
                </c:pt>
                <c:pt idx="9">
                  <c:v>3.56</c:v>
                </c:pt>
                <c:pt idx="10">
                  <c:v>4.5600000000000005</c:v>
                </c:pt>
                <c:pt idx="11">
                  <c:v>6.5600000000000005</c:v>
                </c:pt>
                <c:pt idx="12">
                  <c:v>6.5600000000000005</c:v>
                </c:pt>
                <c:pt idx="13">
                  <c:v>7.5600000000000005</c:v>
                </c:pt>
                <c:pt idx="14">
                  <c:v>8.56</c:v>
                </c:pt>
                <c:pt idx="15">
                  <c:v>8.56</c:v>
                </c:pt>
                <c:pt idx="16">
                  <c:v>9.56</c:v>
                </c:pt>
                <c:pt idx="17">
                  <c:v>9.56</c:v>
                </c:pt>
                <c:pt idx="18">
                  <c:v>10.56</c:v>
                </c:pt>
                <c:pt idx="19">
                  <c:v>10.56</c:v>
                </c:pt>
                <c:pt idx="20">
                  <c:v>12.56</c:v>
                </c:pt>
                <c:pt idx="21">
                  <c:v>12.56</c:v>
                </c:pt>
                <c:pt idx="22">
                  <c:v>12.56</c:v>
                </c:pt>
                <c:pt idx="23">
                  <c:v>12.56</c:v>
                </c:pt>
                <c:pt idx="24">
                  <c:v>13.56</c:v>
                </c:pt>
                <c:pt idx="25">
                  <c:v>14.56</c:v>
                </c:pt>
                <c:pt idx="26">
                  <c:v>14.56</c:v>
                </c:pt>
                <c:pt idx="27">
                  <c:v>14.56</c:v>
                </c:pt>
                <c:pt idx="28">
                  <c:v>14.56</c:v>
                </c:pt>
                <c:pt idx="29">
                  <c:v>14.56</c:v>
                </c:pt>
              </c:numCache>
            </c:numRef>
          </c:val>
        </c:ser>
        <c:dLbls>
          <c:showVal val="1"/>
        </c:dLbls>
        <c:marker val="1"/>
        <c:axId val="140089984"/>
        <c:axId val="140096640"/>
      </c:lineChart>
      <c:dateAx>
        <c:axId val="140089984"/>
        <c:scaling>
          <c:orientation val="minMax"/>
        </c:scaling>
        <c:axPos val="b"/>
        <c:majorGridlines/>
        <c:numFmt formatCode="m/d/yy" sourceLinked="0"/>
        <c:tickLblPos val="nextTo"/>
        <c:txPr>
          <a:bodyPr rot="0"/>
          <a:lstStyle/>
          <a:p>
            <a:pPr>
              <a:defRPr/>
            </a:pPr>
            <a:endParaRPr lang="en-US"/>
          </a:p>
        </c:txPr>
        <c:crossAx val="140096640"/>
        <c:crosses val="autoZero"/>
        <c:lblOffset val="100"/>
        <c:baseTimeUnit val="days"/>
      </c:dateAx>
      <c:valAx>
        <c:axId val="140096640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4008998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2016-11-17T12:27:00Z</dcterms:created>
  <dcterms:modified xsi:type="dcterms:W3CDTF">2016-11-17T12:57:00Z</dcterms:modified>
</cp:coreProperties>
</file>