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1463039</wp:posOffset>
            </wp:positionH>
            <wp:positionV relativeFrom="paragraph">
              <wp:posOffset>131847</wp:posOffset>
            </wp:positionV>
            <wp:extent cx="144780" cy="2270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2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849A"/>
          <w:w w:val="80"/>
        </w:rPr>
        <w:t>Pareto</w:t>
      </w:r>
      <w:r>
        <w:rPr>
          <w:color w:val="70849A"/>
          <w:spacing w:val="1"/>
          <w:w w:val="80"/>
        </w:rPr>
        <w:t> </w:t>
      </w:r>
      <w:r>
        <w:rPr>
          <w:color w:val="70849A"/>
          <w:w w:val="80"/>
        </w:rPr>
        <w:t>Diagram</w:t>
      </w: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pStyle w:val="Heading1"/>
        <w:spacing w:line="326" w:lineRule="auto" w:before="102"/>
        <w:ind w:left="1543" w:right="404"/>
      </w:pPr>
      <w:r>
        <w:rPr>
          <w:w w:val="105"/>
        </w:rPr>
        <w:t>According to the “Pareto Principle,” in any group of things that contribute to a</w:t>
      </w:r>
      <w:r>
        <w:rPr>
          <w:spacing w:val="1"/>
          <w:w w:val="105"/>
        </w:rPr>
        <w:t> </w:t>
      </w:r>
      <w:r>
        <w:rPr>
          <w:w w:val="105"/>
        </w:rPr>
        <w:t>common effect, a relatively few contributors account for the majority of the</w:t>
      </w:r>
      <w:r>
        <w:rPr>
          <w:spacing w:val="1"/>
          <w:w w:val="105"/>
        </w:rPr>
        <w:t> </w:t>
      </w:r>
      <w:r>
        <w:rPr>
          <w:w w:val="105"/>
        </w:rPr>
        <w:t>effect. A Pareto diagram is a type of bar chart in which the various factors that</w:t>
      </w:r>
      <w:r>
        <w:rPr>
          <w:spacing w:val="-73"/>
          <w:w w:val="105"/>
        </w:rPr>
        <w:t> </w:t>
      </w:r>
      <w:r>
        <w:rPr>
          <w:w w:val="105"/>
        </w:rPr>
        <w:t>contribute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overall</w:t>
      </w:r>
      <w:r>
        <w:rPr>
          <w:spacing w:val="-14"/>
          <w:w w:val="105"/>
        </w:rPr>
        <w:t> </w:t>
      </w:r>
      <w:r>
        <w:rPr>
          <w:w w:val="105"/>
        </w:rPr>
        <w:t>effect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arranged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order</w:t>
      </w:r>
      <w:r>
        <w:rPr>
          <w:spacing w:val="-13"/>
          <w:w w:val="105"/>
        </w:rPr>
        <w:t> </w:t>
      </w:r>
      <w:r>
        <w:rPr>
          <w:w w:val="105"/>
        </w:rPr>
        <w:t>according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magnitude</w:t>
      </w:r>
      <w:r>
        <w:rPr>
          <w:spacing w:val="-73"/>
          <w:w w:val="105"/>
        </w:rPr>
        <w:t> </w:t>
      </w:r>
      <w:r>
        <w:rPr/>
        <w:t>of their effect.</w:t>
      </w:r>
      <w:r>
        <w:rPr>
          <w:spacing w:val="1"/>
        </w:rPr>
        <w:t> </w:t>
      </w:r>
      <w:r>
        <w:rPr/>
        <w:t>This ordering helps identify the “vital few” (the factors that</w:t>
      </w:r>
      <w:r>
        <w:rPr>
          <w:spacing w:val="1"/>
        </w:rPr>
        <w:t> </w:t>
      </w:r>
      <w:r>
        <w:rPr>
          <w:w w:val="105"/>
        </w:rPr>
        <w:t>warrant the most attention) from the “useful many” (factors that, while useful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know</w:t>
      </w:r>
      <w:r>
        <w:rPr>
          <w:spacing w:val="-12"/>
          <w:w w:val="105"/>
        </w:rPr>
        <w:t> </w:t>
      </w:r>
      <w:r>
        <w:rPr>
          <w:w w:val="105"/>
        </w:rPr>
        <w:t>about,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relatively</w:t>
      </w:r>
      <w:r>
        <w:rPr>
          <w:spacing w:val="-12"/>
          <w:w w:val="105"/>
        </w:rPr>
        <w:t> </w:t>
      </w:r>
      <w:r>
        <w:rPr>
          <w:w w:val="105"/>
        </w:rPr>
        <w:t>smaller</w:t>
      </w:r>
      <w:r>
        <w:rPr>
          <w:spacing w:val="-12"/>
          <w:w w:val="105"/>
        </w:rPr>
        <w:t> </w:t>
      </w:r>
      <w:r>
        <w:rPr>
          <w:w w:val="105"/>
        </w:rPr>
        <w:t>effect).</w:t>
      </w:r>
      <w:r>
        <w:rPr>
          <w:spacing w:val="52"/>
          <w:w w:val="105"/>
        </w:rPr>
        <w:t> </w:t>
      </w:r>
      <w:r>
        <w:rPr>
          <w:w w:val="105"/>
        </w:rPr>
        <w:t>Using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Pareto</w:t>
      </w:r>
      <w:r>
        <w:rPr>
          <w:spacing w:val="-12"/>
          <w:w w:val="105"/>
        </w:rPr>
        <w:t> </w:t>
      </w:r>
      <w:r>
        <w:rPr>
          <w:w w:val="105"/>
        </w:rPr>
        <w:t>diagram</w:t>
      </w:r>
      <w:r>
        <w:rPr>
          <w:spacing w:val="-12"/>
          <w:w w:val="105"/>
        </w:rPr>
        <w:t> </w:t>
      </w:r>
      <w:r>
        <w:rPr>
          <w:w w:val="105"/>
        </w:rPr>
        <w:t>helps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72"/>
          <w:w w:val="105"/>
        </w:rPr>
        <w:t> </w:t>
      </w:r>
      <w:r>
        <w:rPr/>
        <w:t>team</w:t>
      </w:r>
      <w:r>
        <w:rPr>
          <w:spacing w:val="8"/>
        </w:rPr>
        <w:t> </w:t>
      </w:r>
      <w:r>
        <w:rPr/>
        <w:t>concentrate</w:t>
      </w:r>
      <w:r>
        <w:rPr>
          <w:spacing w:val="9"/>
        </w:rPr>
        <w:t> </w:t>
      </w:r>
      <w:r>
        <w:rPr/>
        <w:t>its</w:t>
      </w:r>
      <w:r>
        <w:rPr>
          <w:spacing w:val="9"/>
        </w:rPr>
        <w:t> </w:t>
      </w:r>
      <w:r>
        <w:rPr/>
        <w:t>efforts</w:t>
      </w:r>
      <w:r>
        <w:rPr>
          <w:spacing w:val="8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factors</w:t>
      </w:r>
      <w:r>
        <w:rPr>
          <w:spacing w:val="9"/>
        </w:rPr>
        <w:t> </w:t>
      </w:r>
      <w:r>
        <w:rPr/>
        <w:t>that</w:t>
      </w:r>
      <w:r>
        <w:rPr>
          <w:spacing w:val="8"/>
        </w:rPr>
        <w:t> </w:t>
      </w:r>
      <w:r>
        <w:rPr/>
        <w:t>have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greatest</w:t>
      </w:r>
      <w:r>
        <w:rPr>
          <w:spacing w:val="10"/>
        </w:rPr>
        <w:t> </w:t>
      </w:r>
      <w:r>
        <w:rPr/>
        <w:t>impact.</w:t>
      </w:r>
      <w:r>
        <w:rPr>
          <w:spacing w:val="19"/>
        </w:rPr>
        <w:t> </w:t>
      </w:r>
      <w:r>
        <w:rPr/>
        <w:t>It</w:t>
      </w:r>
      <w:r>
        <w:rPr>
          <w:spacing w:val="8"/>
        </w:rPr>
        <w:t> </w:t>
      </w:r>
      <w:r>
        <w:rPr/>
        <w:t>also</w:t>
      </w:r>
      <w:r>
        <w:rPr>
          <w:spacing w:val="1"/>
        </w:rPr>
        <w:t> </w:t>
      </w:r>
      <w:r>
        <w:rPr>
          <w:w w:val="105"/>
        </w:rPr>
        <w:t>helps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team</w:t>
      </w:r>
      <w:r>
        <w:rPr>
          <w:spacing w:val="-10"/>
          <w:w w:val="105"/>
        </w:rPr>
        <w:t> </w:t>
      </w:r>
      <w:r>
        <w:rPr>
          <w:w w:val="105"/>
        </w:rPr>
        <w:t>communicate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rationale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focusing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certain</w:t>
      </w:r>
      <w:r>
        <w:rPr>
          <w:spacing w:val="-9"/>
          <w:w w:val="105"/>
        </w:rPr>
        <w:t> </w:t>
      </w:r>
      <w:r>
        <w:rPr>
          <w:w w:val="105"/>
        </w:rPr>
        <w:t>areas.</w:t>
      </w:r>
    </w:p>
    <w:p>
      <w:pPr>
        <w:pStyle w:val="BodyText"/>
        <w:spacing w:before="3"/>
        <w:rPr>
          <w:sz w:val="37"/>
        </w:rPr>
      </w:pPr>
    </w:p>
    <w:p>
      <w:pPr>
        <w:spacing w:before="0"/>
        <w:ind w:left="1543" w:right="0" w:firstLine="0"/>
        <w:jc w:val="left"/>
        <w:rPr>
          <w:rFonts w:ascii="Verdana"/>
          <w:b/>
          <w:sz w:val="24"/>
        </w:rPr>
      </w:pPr>
      <w:r>
        <w:rPr>
          <w:rFonts w:ascii="Verdana"/>
          <w:b/>
          <w:w w:val="95"/>
          <w:sz w:val="24"/>
        </w:rPr>
        <w:t>This tool</w:t>
      </w:r>
      <w:r>
        <w:rPr>
          <w:rFonts w:ascii="Verdana"/>
          <w:b/>
          <w:spacing w:val="1"/>
          <w:w w:val="95"/>
          <w:sz w:val="24"/>
        </w:rPr>
        <w:t> </w:t>
      </w:r>
      <w:r>
        <w:rPr>
          <w:rFonts w:ascii="Verdana"/>
          <w:b/>
          <w:w w:val="95"/>
          <w:sz w:val="24"/>
        </w:rPr>
        <w:t>contains:</w:t>
      </w:r>
    </w:p>
    <w:p>
      <w:pPr>
        <w:pStyle w:val="Heading1"/>
        <w:spacing w:before="89"/>
        <w:ind w:left="1544"/>
      </w:pPr>
      <w:r>
        <w:rPr/>
        <w:drawing>
          <wp:inline distT="0" distB="0" distL="0" distR="0">
            <wp:extent cx="179070" cy="1524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w w:val="105"/>
        </w:rPr>
        <w:t>Directions</w:t>
      </w:r>
    </w:p>
    <w:p>
      <w:pPr>
        <w:spacing w:before="87"/>
        <w:ind w:left="1544" w:right="0" w:firstLine="0"/>
        <w:jc w:val="left"/>
        <w:rPr>
          <w:rFonts w:ascii="Verdana"/>
          <w:sz w:val="22"/>
        </w:rPr>
      </w:pPr>
      <w:r>
        <w:rPr/>
        <w:drawing>
          <wp:inline distT="0" distB="0" distL="0" distR="0">
            <wp:extent cx="179070" cy="152400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rFonts w:ascii="Verdana"/>
          <w:sz w:val="22"/>
        </w:rPr>
        <w:t>Sample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Pareto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Data Table</w:t>
      </w:r>
      <w:r>
        <w:rPr>
          <w:rFonts w:ascii="Verdana"/>
          <w:spacing w:val="-3"/>
          <w:sz w:val="22"/>
        </w:rPr>
        <w:t> </w:t>
      </w:r>
      <w:r>
        <w:rPr>
          <w:rFonts w:ascii="Verdana"/>
          <w:sz w:val="22"/>
        </w:rPr>
        <w:t>and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Diagram: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Errors</w:t>
      </w:r>
      <w:r>
        <w:rPr>
          <w:rFonts w:ascii="Verdana"/>
          <w:spacing w:val="-3"/>
          <w:sz w:val="22"/>
        </w:rPr>
        <w:t> </w:t>
      </w:r>
      <w:r>
        <w:rPr>
          <w:rFonts w:ascii="Verdana"/>
          <w:sz w:val="22"/>
        </w:rPr>
        <w:t>During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Surgical</w:t>
      </w:r>
      <w:r>
        <w:rPr>
          <w:rFonts w:ascii="Verdana"/>
          <w:spacing w:val="-3"/>
          <w:sz w:val="22"/>
        </w:rPr>
        <w:t> </w:t>
      </w:r>
      <w:r>
        <w:rPr>
          <w:rFonts w:ascii="Verdana"/>
          <w:sz w:val="22"/>
        </w:rPr>
        <w:t>Setup</w:t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spacing w:after="0"/>
        <w:rPr>
          <w:rFonts w:ascii="Verdana"/>
        </w:rPr>
        <w:sectPr>
          <w:headerReference w:type="default" r:id="rId5"/>
          <w:type w:val="continuous"/>
          <w:pgSz w:w="12240" w:h="15840"/>
          <w:pgMar w:header="869" w:top="3280" w:bottom="280" w:left="760" w:right="460"/>
          <w:pgNumType w:start="1"/>
        </w:sectPr>
      </w:pPr>
    </w:p>
    <w:p>
      <w:pPr>
        <w:pStyle w:val="BodyText"/>
        <w:spacing w:before="1"/>
        <w:rPr>
          <w:rFonts w:ascii="Verdana"/>
        </w:rPr>
      </w:pPr>
    </w:p>
    <w:p>
      <w:pPr>
        <w:spacing w:line="244" w:lineRule="auto" w:before="1"/>
        <w:ind w:left="1614" w:right="0" w:firstLine="0"/>
        <w:jc w:val="left"/>
        <w:rPr>
          <w:sz w:val="16"/>
        </w:rPr>
      </w:pPr>
      <w:r>
        <w:rPr/>
        <w:pict>
          <v:group style="position:absolute;margin-left:43.200001pt;margin-top:-56.998222pt;width:39.6pt;height:79.2pt;mso-position-horizontal-relative:page;mso-position-vertical-relative:paragraph;z-index:15728640" coordorigin="864,-1140" coordsize="792,1584">
            <v:shape style="position:absolute;left:864;top:-1140;width:792;height:1584" type="#_x0000_t75" stroked="false">
              <v:imagedata r:id="rId8" o:title=""/>
            </v:shape>
            <v:shape style="position:absolute;left:864;top:-1140;width:792;height:15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35"/>
                      </w:rPr>
                    </w:pPr>
                  </w:p>
                  <w:p>
                    <w:pPr>
                      <w:spacing w:before="0"/>
                      <w:ind w:left="0" w:right="5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6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105"/>
          <w:sz w:val="16"/>
        </w:rPr>
        <w:t>Institute</w:t>
      </w:r>
      <w:r>
        <w:rPr>
          <w:spacing w:val="-11"/>
          <w:w w:val="105"/>
          <w:sz w:val="16"/>
        </w:rPr>
        <w:t> </w:t>
      </w:r>
      <w:r>
        <w:rPr>
          <w:spacing w:val="-1"/>
          <w:w w:val="105"/>
          <w:sz w:val="16"/>
        </w:rPr>
        <w:t>for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Healthcare</w:t>
      </w:r>
      <w:r>
        <w:rPr>
          <w:spacing w:val="-11"/>
          <w:w w:val="105"/>
          <w:sz w:val="16"/>
        </w:rPr>
        <w:t> </w:t>
      </w:r>
      <w:r>
        <w:rPr>
          <w:spacing w:val="-1"/>
          <w:w w:val="105"/>
          <w:sz w:val="16"/>
        </w:rPr>
        <w:t>Improvement</w:t>
      </w:r>
      <w:r>
        <w:rPr>
          <w:spacing w:val="-48"/>
          <w:w w:val="105"/>
          <w:sz w:val="16"/>
        </w:rPr>
        <w:t> </w:t>
      </w:r>
      <w:r>
        <w:rPr>
          <w:w w:val="110"/>
          <w:sz w:val="16"/>
        </w:rPr>
        <w:t>Boston,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Massachusetts,</w:t>
      </w:r>
      <w:r>
        <w:rPr>
          <w:spacing w:val="-7"/>
          <w:w w:val="110"/>
          <w:sz w:val="16"/>
        </w:rPr>
        <w:t> </w:t>
      </w:r>
      <w:r>
        <w:rPr>
          <w:w w:val="110"/>
          <w:sz w:val="16"/>
        </w:rPr>
        <w:t>USA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spacing w:before="120"/>
        <w:ind w:left="1614" w:right="0" w:firstLine="0"/>
        <w:jc w:val="left"/>
        <w:rPr>
          <w:sz w:val="16"/>
        </w:rPr>
      </w:pPr>
      <w:r>
        <w:rPr>
          <w:w w:val="105"/>
          <w:sz w:val="16"/>
        </w:rPr>
        <w:t>Copyright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©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2004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Institute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Healthcare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Improvement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3280" w:bottom="280" w:left="760" w:right="460"/>
          <w:cols w:num="2" w:equalWidth="0">
            <w:col w:w="4445" w:space="689"/>
            <w:col w:w="5886"/>
          </w:cols>
        </w:sectPr>
      </w:pPr>
    </w:p>
    <w:p>
      <w:pPr>
        <w:pStyle w:val="Heading2"/>
      </w:pPr>
      <w:r>
        <w:rPr/>
        <w:t>Directions</w:t>
      </w:r>
    </w:p>
    <w:p>
      <w:pPr>
        <w:pStyle w:val="BodyText"/>
        <w:rPr>
          <w:rFonts w:ascii="Verdana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904" w:val="left" w:leader="none"/>
        </w:tabs>
        <w:spacing w:line="247" w:lineRule="auto" w:before="1" w:after="0"/>
        <w:ind w:left="1903" w:right="713" w:hanging="360"/>
        <w:jc w:val="left"/>
        <w:rPr>
          <w:sz w:val="20"/>
        </w:rPr>
      </w:pPr>
      <w:r>
        <w:rPr>
          <w:color w:val="333333"/>
          <w:sz w:val="20"/>
        </w:rPr>
        <w:t>Collect</w:t>
      </w:r>
      <w:r>
        <w:rPr>
          <w:color w:val="333333"/>
          <w:spacing w:val="9"/>
          <w:sz w:val="20"/>
        </w:rPr>
        <w:t> </w:t>
      </w:r>
      <w:r>
        <w:rPr>
          <w:color w:val="333333"/>
          <w:sz w:val="20"/>
        </w:rPr>
        <w:t>data</w:t>
      </w:r>
      <w:r>
        <w:rPr>
          <w:color w:val="333333"/>
          <w:spacing w:val="9"/>
          <w:sz w:val="20"/>
        </w:rPr>
        <w:t> </w:t>
      </w:r>
      <w:r>
        <w:rPr>
          <w:color w:val="333333"/>
          <w:sz w:val="20"/>
        </w:rPr>
        <w:t>about</w:t>
      </w:r>
      <w:r>
        <w:rPr>
          <w:color w:val="333333"/>
          <w:spacing w:val="8"/>
          <w:sz w:val="20"/>
        </w:rPr>
        <w:t> </w:t>
      </w:r>
      <w:r>
        <w:rPr>
          <w:color w:val="333333"/>
          <w:sz w:val="20"/>
        </w:rPr>
        <w:t>the</w:t>
      </w:r>
      <w:r>
        <w:rPr>
          <w:color w:val="333333"/>
          <w:spacing w:val="10"/>
          <w:sz w:val="20"/>
        </w:rPr>
        <w:t> </w:t>
      </w:r>
      <w:r>
        <w:rPr>
          <w:color w:val="333333"/>
          <w:sz w:val="20"/>
        </w:rPr>
        <w:t>contributing</w:t>
      </w:r>
      <w:r>
        <w:rPr>
          <w:color w:val="333333"/>
          <w:spacing w:val="8"/>
          <w:sz w:val="20"/>
        </w:rPr>
        <w:t> </w:t>
      </w:r>
      <w:r>
        <w:rPr>
          <w:color w:val="333333"/>
          <w:sz w:val="20"/>
        </w:rPr>
        <w:t>factors</w:t>
      </w:r>
      <w:r>
        <w:rPr>
          <w:color w:val="333333"/>
          <w:spacing w:val="10"/>
          <w:sz w:val="20"/>
        </w:rPr>
        <w:t> </w:t>
      </w:r>
      <w:r>
        <w:rPr>
          <w:color w:val="333333"/>
          <w:sz w:val="20"/>
        </w:rPr>
        <w:t>to</w:t>
      </w:r>
      <w:r>
        <w:rPr>
          <w:color w:val="333333"/>
          <w:spacing w:val="9"/>
          <w:sz w:val="20"/>
        </w:rPr>
        <w:t> </w:t>
      </w:r>
      <w:r>
        <w:rPr>
          <w:color w:val="333333"/>
          <w:sz w:val="20"/>
        </w:rPr>
        <w:t>a</w:t>
      </w:r>
      <w:r>
        <w:rPr>
          <w:color w:val="333333"/>
          <w:spacing w:val="10"/>
          <w:sz w:val="20"/>
        </w:rPr>
        <w:t> </w:t>
      </w:r>
      <w:r>
        <w:rPr>
          <w:color w:val="333333"/>
          <w:sz w:val="20"/>
        </w:rPr>
        <w:t>particular</w:t>
      </w:r>
      <w:r>
        <w:rPr>
          <w:color w:val="333333"/>
          <w:spacing w:val="10"/>
          <w:sz w:val="20"/>
        </w:rPr>
        <w:t> </w:t>
      </w:r>
      <w:r>
        <w:rPr>
          <w:color w:val="333333"/>
          <w:sz w:val="20"/>
        </w:rPr>
        <w:t>effect</w:t>
      </w:r>
      <w:r>
        <w:rPr>
          <w:color w:val="333333"/>
          <w:spacing w:val="10"/>
          <w:sz w:val="20"/>
        </w:rPr>
        <w:t> </w:t>
      </w:r>
      <w:r>
        <w:rPr>
          <w:color w:val="333333"/>
          <w:sz w:val="20"/>
        </w:rPr>
        <w:t>(for</w:t>
      </w:r>
      <w:r>
        <w:rPr>
          <w:color w:val="333333"/>
          <w:spacing w:val="9"/>
          <w:sz w:val="20"/>
        </w:rPr>
        <w:t> </w:t>
      </w:r>
      <w:r>
        <w:rPr>
          <w:color w:val="333333"/>
          <w:sz w:val="20"/>
        </w:rPr>
        <w:t>example,</w:t>
      </w:r>
      <w:r>
        <w:rPr>
          <w:color w:val="333333"/>
          <w:spacing w:val="10"/>
          <w:sz w:val="20"/>
        </w:rPr>
        <w:t> </w:t>
      </w:r>
      <w:r>
        <w:rPr>
          <w:color w:val="333333"/>
          <w:sz w:val="20"/>
        </w:rPr>
        <w:t>the</w:t>
      </w:r>
      <w:r>
        <w:rPr>
          <w:color w:val="333333"/>
          <w:spacing w:val="10"/>
          <w:sz w:val="20"/>
        </w:rPr>
        <w:t> </w:t>
      </w:r>
      <w:r>
        <w:rPr>
          <w:color w:val="333333"/>
          <w:sz w:val="20"/>
        </w:rPr>
        <w:t>types</w:t>
      </w:r>
      <w:r>
        <w:rPr>
          <w:color w:val="333333"/>
          <w:spacing w:val="8"/>
          <w:sz w:val="20"/>
        </w:rPr>
        <w:t> </w:t>
      </w:r>
      <w:r>
        <w:rPr>
          <w:color w:val="333333"/>
          <w:sz w:val="20"/>
        </w:rPr>
        <w:t>of</w:t>
      </w:r>
      <w:r>
        <w:rPr>
          <w:color w:val="333333"/>
          <w:spacing w:val="-57"/>
          <w:sz w:val="20"/>
        </w:rPr>
        <w:t> </w:t>
      </w:r>
      <w:r>
        <w:rPr>
          <w:color w:val="333333"/>
          <w:w w:val="105"/>
          <w:sz w:val="20"/>
        </w:rPr>
        <w:t>errors</w:t>
      </w:r>
      <w:r>
        <w:rPr>
          <w:color w:val="333333"/>
          <w:spacing w:val="-8"/>
          <w:w w:val="105"/>
          <w:sz w:val="20"/>
        </w:rPr>
        <w:t> </w:t>
      </w:r>
      <w:r>
        <w:rPr>
          <w:color w:val="333333"/>
          <w:w w:val="105"/>
          <w:sz w:val="20"/>
        </w:rPr>
        <w:t>discovered</w:t>
      </w:r>
      <w:r>
        <w:rPr>
          <w:color w:val="333333"/>
          <w:spacing w:val="-9"/>
          <w:w w:val="105"/>
          <w:sz w:val="20"/>
        </w:rPr>
        <w:t> </w:t>
      </w:r>
      <w:r>
        <w:rPr>
          <w:color w:val="333333"/>
          <w:w w:val="105"/>
          <w:sz w:val="20"/>
        </w:rPr>
        <w:t>during</w:t>
      </w:r>
      <w:r>
        <w:rPr>
          <w:color w:val="333333"/>
          <w:spacing w:val="-9"/>
          <w:w w:val="105"/>
          <w:sz w:val="20"/>
        </w:rPr>
        <w:t> </w:t>
      </w:r>
      <w:r>
        <w:rPr>
          <w:color w:val="333333"/>
          <w:w w:val="105"/>
          <w:sz w:val="20"/>
        </w:rPr>
        <w:t>surgical</w:t>
      </w:r>
      <w:r>
        <w:rPr>
          <w:color w:val="333333"/>
          <w:spacing w:val="-9"/>
          <w:w w:val="105"/>
          <w:sz w:val="20"/>
        </w:rPr>
        <w:t> </w:t>
      </w:r>
      <w:r>
        <w:rPr>
          <w:color w:val="333333"/>
          <w:w w:val="105"/>
          <w:sz w:val="20"/>
        </w:rPr>
        <w:t>setup).</w:t>
      </w:r>
    </w:p>
    <w:p>
      <w:pPr>
        <w:pStyle w:val="ListParagraph"/>
        <w:numPr>
          <w:ilvl w:val="0"/>
          <w:numId w:val="1"/>
        </w:numPr>
        <w:tabs>
          <w:tab w:pos="1904" w:val="left" w:leader="none"/>
        </w:tabs>
        <w:spacing w:line="247" w:lineRule="auto" w:before="203" w:after="0"/>
        <w:ind w:left="1903" w:right="617" w:hanging="360"/>
        <w:jc w:val="left"/>
        <w:rPr>
          <w:sz w:val="20"/>
        </w:rPr>
      </w:pPr>
      <w:r>
        <w:rPr>
          <w:color w:val="333333"/>
          <w:spacing w:val="-1"/>
          <w:w w:val="105"/>
          <w:sz w:val="20"/>
        </w:rPr>
        <w:t>Order</w:t>
      </w:r>
      <w:r>
        <w:rPr>
          <w:color w:val="333333"/>
          <w:spacing w:val="-15"/>
          <w:w w:val="105"/>
          <w:sz w:val="20"/>
        </w:rPr>
        <w:t> </w:t>
      </w:r>
      <w:r>
        <w:rPr>
          <w:color w:val="333333"/>
          <w:spacing w:val="-1"/>
          <w:w w:val="105"/>
          <w:sz w:val="20"/>
        </w:rPr>
        <w:t>the</w:t>
      </w:r>
      <w:r>
        <w:rPr>
          <w:color w:val="333333"/>
          <w:spacing w:val="-15"/>
          <w:w w:val="105"/>
          <w:sz w:val="20"/>
        </w:rPr>
        <w:t> </w:t>
      </w:r>
      <w:r>
        <w:rPr>
          <w:color w:val="333333"/>
          <w:spacing w:val="-1"/>
          <w:w w:val="105"/>
          <w:sz w:val="20"/>
        </w:rPr>
        <w:t>categories</w:t>
      </w:r>
      <w:r>
        <w:rPr>
          <w:color w:val="333333"/>
          <w:spacing w:val="-14"/>
          <w:w w:val="105"/>
          <w:sz w:val="20"/>
        </w:rPr>
        <w:t> </w:t>
      </w:r>
      <w:r>
        <w:rPr>
          <w:color w:val="333333"/>
          <w:spacing w:val="-1"/>
          <w:w w:val="105"/>
          <w:sz w:val="20"/>
        </w:rPr>
        <w:t>according</w:t>
      </w:r>
      <w:r>
        <w:rPr>
          <w:color w:val="333333"/>
          <w:spacing w:val="-15"/>
          <w:w w:val="105"/>
          <w:sz w:val="20"/>
        </w:rPr>
        <w:t> </w:t>
      </w:r>
      <w:r>
        <w:rPr>
          <w:color w:val="333333"/>
          <w:spacing w:val="-1"/>
          <w:w w:val="105"/>
          <w:sz w:val="20"/>
        </w:rPr>
        <w:t>to</w:t>
      </w:r>
      <w:r>
        <w:rPr>
          <w:color w:val="333333"/>
          <w:spacing w:val="-15"/>
          <w:w w:val="105"/>
          <w:sz w:val="20"/>
        </w:rPr>
        <w:t> </w:t>
      </w:r>
      <w:r>
        <w:rPr>
          <w:color w:val="333333"/>
          <w:spacing w:val="-1"/>
          <w:w w:val="105"/>
          <w:sz w:val="20"/>
        </w:rPr>
        <w:t>magnitude</w:t>
      </w:r>
      <w:r>
        <w:rPr>
          <w:color w:val="333333"/>
          <w:spacing w:val="-14"/>
          <w:w w:val="105"/>
          <w:sz w:val="20"/>
        </w:rPr>
        <w:t> </w:t>
      </w:r>
      <w:r>
        <w:rPr>
          <w:color w:val="333333"/>
          <w:spacing w:val="-1"/>
          <w:w w:val="105"/>
          <w:sz w:val="20"/>
        </w:rPr>
        <w:t>of</w:t>
      </w:r>
      <w:r>
        <w:rPr>
          <w:color w:val="333333"/>
          <w:spacing w:val="-14"/>
          <w:w w:val="105"/>
          <w:sz w:val="20"/>
        </w:rPr>
        <w:t> </w:t>
      </w:r>
      <w:r>
        <w:rPr>
          <w:color w:val="333333"/>
          <w:spacing w:val="-1"/>
          <w:w w:val="105"/>
          <w:sz w:val="20"/>
        </w:rPr>
        <w:t>effect</w:t>
      </w:r>
      <w:r>
        <w:rPr>
          <w:color w:val="333333"/>
          <w:spacing w:val="-14"/>
          <w:w w:val="105"/>
          <w:sz w:val="20"/>
        </w:rPr>
        <w:t> </w:t>
      </w:r>
      <w:r>
        <w:rPr>
          <w:color w:val="333333"/>
          <w:w w:val="105"/>
          <w:sz w:val="20"/>
        </w:rPr>
        <w:t>(for</w:t>
      </w:r>
      <w:r>
        <w:rPr>
          <w:color w:val="333333"/>
          <w:spacing w:val="-15"/>
          <w:w w:val="105"/>
          <w:sz w:val="20"/>
        </w:rPr>
        <w:t> </w:t>
      </w:r>
      <w:r>
        <w:rPr>
          <w:color w:val="333333"/>
          <w:w w:val="105"/>
          <w:sz w:val="20"/>
        </w:rPr>
        <w:t>example,</w:t>
      </w:r>
      <w:r>
        <w:rPr>
          <w:color w:val="333333"/>
          <w:spacing w:val="-15"/>
          <w:w w:val="105"/>
          <w:sz w:val="20"/>
        </w:rPr>
        <w:t> </w:t>
      </w:r>
      <w:r>
        <w:rPr>
          <w:color w:val="333333"/>
          <w:w w:val="105"/>
          <w:sz w:val="20"/>
        </w:rPr>
        <w:t>frequency</w:t>
      </w:r>
      <w:r>
        <w:rPr>
          <w:color w:val="333333"/>
          <w:spacing w:val="-14"/>
          <w:w w:val="105"/>
          <w:sz w:val="20"/>
        </w:rPr>
        <w:t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-14"/>
          <w:w w:val="105"/>
          <w:sz w:val="20"/>
        </w:rPr>
        <w:t> </w:t>
      </w:r>
      <w:r>
        <w:rPr>
          <w:color w:val="333333"/>
          <w:w w:val="105"/>
          <w:sz w:val="20"/>
        </w:rPr>
        <w:t>error).</w:t>
      </w:r>
      <w:r>
        <w:rPr>
          <w:color w:val="333333"/>
          <w:spacing w:val="35"/>
          <w:w w:val="105"/>
          <w:sz w:val="20"/>
        </w:rPr>
        <w:t> </w:t>
      </w:r>
      <w:r>
        <w:rPr>
          <w:color w:val="333333"/>
          <w:w w:val="105"/>
          <w:sz w:val="20"/>
        </w:rPr>
        <w:t>If</w:t>
      </w:r>
      <w:r>
        <w:rPr>
          <w:color w:val="333333"/>
          <w:spacing w:val="-60"/>
          <w:w w:val="105"/>
          <w:sz w:val="20"/>
        </w:rPr>
        <w:t> </w:t>
      </w:r>
      <w:r>
        <w:rPr>
          <w:color w:val="333333"/>
          <w:w w:val="105"/>
          <w:sz w:val="20"/>
        </w:rPr>
        <w:t>there are many insignificant categories, they may be grouped together into one category</w:t>
      </w:r>
      <w:r>
        <w:rPr>
          <w:color w:val="333333"/>
          <w:spacing w:val="1"/>
          <w:w w:val="105"/>
          <w:sz w:val="20"/>
        </w:rPr>
        <w:t> </w:t>
      </w:r>
      <w:r>
        <w:rPr>
          <w:color w:val="333333"/>
          <w:w w:val="105"/>
          <w:sz w:val="20"/>
        </w:rPr>
        <w:t>labeled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“other.”</w:t>
      </w:r>
    </w:p>
    <w:p>
      <w:pPr>
        <w:pStyle w:val="ListParagraph"/>
        <w:numPr>
          <w:ilvl w:val="0"/>
          <w:numId w:val="1"/>
        </w:numPr>
        <w:tabs>
          <w:tab w:pos="1904" w:val="left" w:leader="none"/>
        </w:tabs>
        <w:spacing w:line="247" w:lineRule="auto" w:before="204" w:after="0"/>
        <w:ind w:left="1903" w:right="478" w:hanging="360"/>
        <w:jc w:val="left"/>
        <w:rPr>
          <w:sz w:val="20"/>
        </w:rPr>
      </w:pPr>
      <w:r>
        <w:rPr>
          <w:color w:val="333333"/>
          <w:w w:val="105"/>
          <w:sz w:val="20"/>
        </w:rPr>
        <w:t>Write</w:t>
      </w:r>
      <w:r>
        <w:rPr>
          <w:color w:val="333333"/>
          <w:spacing w:val="-15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4"/>
          <w:w w:val="105"/>
          <w:sz w:val="20"/>
        </w:rPr>
        <w:t> </w:t>
      </w:r>
      <w:r>
        <w:rPr>
          <w:color w:val="333333"/>
          <w:w w:val="105"/>
          <w:sz w:val="20"/>
        </w:rPr>
        <w:t>magnitude</w:t>
      </w:r>
      <w:r>
        <w:rPr>
          <w:color w:val="333333"/>
          <w:spacing w:val="-14"/>
          <w:w w:val="105"/>
          <w:sz w:val="20"/>
        </w:rPr>
        <w:t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contribution</w:t>
      </w:r>
      <w:r>
        <w:rPr>
          <w:color w:val="333333"/>
          <w:spacing w:val="-15"/>
          <w:w w:val="105"/>
          <w:sz w:val="20"/>
        </w:rPr>
        <w:t> </w:t>
      </w:r>
      <w:r>
        <w:rPr>
          <w:color w:val="333333"/>
          <w:w w:val="105"/>
          <w:sz w:val="20"/>
        </w:rPr>
        <w:t>(for</w:t>
      </w:r>
      <w:r>
        <w:rPr>
          <w:color w:val="333333"/>
          <w:spacing w:val="-14"/>
          <w:w w:val="105"/>
          <w:sz w:val="20"/>
        </w:rPr>
        <w:t> </w:t>
      </w:r>
      <w:r>
        <w:rPr>
          <w:color w:val="333333"/>
          <w:w w:val="105"/>
          <w:sz w:val="20"/>
        </w:rPr>
        <w:t>example,</w:t>
      </w:r>
      <w:r>
        <w:rPr>
          <w:color w:val="333333"/>
          <w:spacing w:val="-15"/>
          <w:w w:val="105"/>
          <w:sz w:val="20"/>
        </w:rPr>
        <w:t> </w:t>
      </w:r>
      <w:r>
        <w:rPr>
          <w:color w:val="333333"/>
          <w:w w:val="105"/>
          <w:sz w:val="20"/>
        </w:rPr>
        <w:t>frequency</w:t>
      </w:r>
      <w:r>
        <w:rPr>
          <w:color w:val="333333"/>
          <w:spacing w:val="-14"/>
          <w:w w:val="105"/>
          <w:sz w:val="20"/>
        </w:rPr>
        <w:t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-14"/>
          <w:w w:val="105"/>
          <w:sz w:val="20"/>
        </w:rPr>
        <w:t> </w:t>
      </w:r>
      <w:r>
        <w:rPr>
          <w:color w:val="333333"/>
          <w:w w:val="105"/>
          <w:sz w:val="20"/>
        </w:rPr>
        <w:t>error)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next</w:t>
      </w:r>
      <w:r>
        <w:rPr>
          <w:color w:val="333333"/>
          <w:spacing w:val="-14"/>
          <w:w w:val="105"/>
          <w:sz w:val="20"/>
        </w:rPr>
        <w:t> </w:t>
      </w:r>
      <w:r>
        <w:rPr>
          <w:color w:val="333333"/>
          <w:w w:val="105"/>
          <w:sz w:val="20"/>
        </w:rPr>
        <w:t>to</w:t>
      </w:r>
      <w:r>
        <w:rPr>
          <w:color w:val="333333"/>
          <w:spacing w:val="-14"/>
          <w:w w:val="105"/>
          <w:sz w:val="20"/>
        </w:rPr>
        <w:t> </w:t>
      </w:r>
      <w:r>
        <w:rPr>
          <w:color w:val="333333"/>
          <w:w w:val="105"/>
          <w:sz w:val="20"/>
        </w:rPr>
        <w:t>each</w:t>
      </w:r>
      <w:r>
        <w:rPr>
          <w:color w:val="333333"/>
          <w:spacing w:val="-15"/>
          <w:w w:val="105"/>
          <w:sz w:val="20"/>
        </w:rPr>
        <w:t> </w:t>
      </w:r>
      <w:r>
        <w:rPr>
          <w:color w:val="333333"/>
          <w:w w:val="105"/>
          <w:sz w:val="20"/>
        </w:rPr>
        <w:t>category</w:t>
      </w:r>
      <w:r>
        <w:rPr>
          <w:color w:val="333333"/>
          <w:spacing w:val="-60"/>
          <w:w w:val="105"/>
          <w:sz w:val="20"/>
        </w:rPr>
        <w:t> </w:t>
      </w:r>
      <w:r>
        <w:rPr>
          <w:color w:val="333333"/>
          <w:w w:val="105"/>
          <w:sz w:val="20"/>
        </w:rPr>
        <w:t>and determine the grand total. Calculate the percentage of the total that each category</w:t>
      </w:r>
      <w:r>
        <w:rPr>
          <w:color w:val="333333"/>
          <w:spacing w:val="1"/>
          <w:w w:val="105"/>
          <w:sz w:val="20"/>
        </w:rPr>
        <w:t> </w:t>
      </w:r>
      <w:r>
        <w:rPr>
          <w:color w:val="333333"/>
          <w:w w:val="105"/>
          <w:sz w:val="20"/>
        </w:rPr>
        <w:t>represents.</w:t>
      </w:r>
    </w:p>
    <w:p>
      <w:pPr>
        <w:pStyle w:val="ListParagraph"/>
        <w:numPr>
          <w:ilvl w:val="0"/>
          <w:numId w:val="1"/>
        </w:numPr>
        <w:tabs>
          <w:tab w:pos="1904" w:val="left" w:leader="none"/>
        </w:tabs>
        <w:spacing w:line="247" w:lineRule="auto" w:before="204" w:after="0"/>
        <w:ind w:left="1903" w:right="590" w:hanging="360"/>
        <w:jc w:val="left"/>
        <w:rPr>
          <w:sz w:val="20"/>
        </w:rPr>
      </w:pPr>
      <w:r>
        <w:rPr>
          <w:color w:val="333333"/>
          <w:w w:val="105"/>
          <w:sz w:val="20"/>
        </w:rPr>
        <w:t>Working</w:t>
      </w:r>
      <w:r>
        <w:rPr>
          <w:color w:val="333333"/>
          <w:spacing w:val="-14"/>
          <w:w w:val="105"/>
          <w:sz w:val="20"/>
        </w:rPr>
        <w:t> </w:t>
      </w:r>
      <w:r>
        <w:rPr>
          <w:color w:val="333333"/>
          <w:w w:val="105"/>
          <w:sz w:val="20"/>
        </w:rPr>
        <w:t>from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largest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category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to</w:t>
      </w:r>
      <w:r>
        <w:rPr>
          <w:color w:val="333333"/>
          <w:spacing w:val="-14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smallest,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calculate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cumulative</w:t>
      </w:r>
      <w:r>
        <w:rPr>
          <w:color w:val="333333"/>
          <w:spacing w:val="-14"/>
          <w:w w:val="105"/>
          <w:sz w:val="20"/>
        </w:rPr>
        <w:t> </w:t>
      </w:r>
      <w:r>
        <w:rPr>
          <w:color w:val="333333"/>
          <w:w w:val="105"/>
          <w:sz w:val="20"/>
        </w:rPr>
        <w:t>percentage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for</w:t>
      </w:r>
      <w:r>
        <w:rPr>
          <w:color w:val="333333"/>
          <w:spacing w:val="-60"/>
          <w:w w:val="105"/>
          <w:sz w:val="20"/>
        </w:rPr>
        <w:t> </w:t>
      </w:r>
      <w:r>
        <w:rPr>
          <w:color w:val="333333"/>
          <w:w w:val="105"/>
          <w:sz w:val="20"/>
        </w:rPr>
        <w:t>each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category</w:t>
      </w:r>
      <w:r>
        <w:rPr>
          <w:color w:val="333333"/>
          <w:spacing w:val="-8"/>
          <w:w w:val="105"/>
          <w:sz w:val="20"/>
        </w:rPr>
        <w:t> </w:t>
      </w:r>
      <w:r>
        <w:rPr>
          <w:color w:val="333333"/>
          <w:w w:val="105"/>
          <w:sz w:val="20"/>
        </w:rPr>
        <w:t>with</w:t>
      </w:r>
      <w:r>
        <w:rPr>
          <w:color w:val="333333"/>
          <w:spacing w:val="-9"/>
          <w:w w:val="105"/>
          <w:sz w:val="20"/>
        </w:rPr>
        <w:t> </w:t>
      </w:r>
      <w:r>
        <w:rPr>
          <w:color w:val="333333"/>
          <w:w w:val="105"/>
          <w:sz w:val="20"/>
        </w:rPr>
        <w:t>all</w:t>
      </w:r>
      <w:r>
        <w:rPr>
          <w:color w:val="333333"/>
          <w:spacing w:val="-9"/>
          <w:w w:val="105"/>
          <w:sz w:val="20"/>
        </w:rPr>
        <w:t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-7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previous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categories.</w:t>
      </w:r>
    </w:p>
    <w:p>
      <w:pPr>
        <w:pStyle w:val="ListParagraph"/>
        <w:numPr>
          <w:ilvl w:val="0"/>
          <w:numId w:val="1"/>
        </w:numPr>
        <w:tabs>
          <w:tab w:pos="1904" w:val="left" w:leader="none"/>
        </w:tabs>
        <w:spacing w:line="247" w:lineRule="auto" w:before="204" w:after="0"/>
        <w:ind w:left="1903" w:right="636" w:hanging="360"/>
        <w:jc w:val="left"/>
        <w:rPr>
          <w:sz w:val="20"/>
        </w:rPr>
      </w:pPr>
      <w:r>
        <w:rPr>
          <w:color w:val="333333"/>
          <w:w w:val="105"/>
          <w:sz w:val="20"/>
        </w:rPr>
        <w:t>Draw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label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left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vertical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axis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with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unit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comparison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(for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example,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“Number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1"/>
          <w:w w:val="105"/>
          <w:sz w:val="20"/>
        </w:rPr>
        <w:t> </w:t>
      </w:r>
      <w:r>
        <w:rPr>
          <w:color w:val="333333"/>
          <w:w w:val="105"/>
          <w:sz w:val="20"/>
        </w:rPr>
        <w:t>Occurrences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Error,”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from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0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to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grand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total).</w:t>
      </w:r>
    </w:p>
    <w:p>
      <w:pPr>
        <w:pStyle w:val="ListParagraph"/>
        <w:numPr>
          <w:ilvl w:val="0"/>
          <w:numId w:val="1"/>
        </w:numPr>
        <w:tabs>
          <w:tab w:pos="1904" w:val="left" w:leader="none"/>
        </w:tabs>
        <w:spacing w:line="247" w:lineRule="auto" w:before="204" w:after="0"/>
        <w:ind w:left="1903" w:right="1092" w:hanging="360"/>
        <w:jc w:val="left"/>
        <w:rPr>
          <w:sz w:val="20"/>
        </w:rPr>
      </w:pPr>
      <w:r>
        <w:rPr>
          <w:color w:val="333333"/>
          <w:w w:val="105"/>
          <w:sz w:val="20"/>
        </w:rPr>
        <w:t>Draw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label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horizontal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axis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with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categories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(for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example,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“Type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Error”),</w:t>
      </w:r>
      <w:r>
        <w:rPr>
          <w:color w:val="333333"/>
          <w:spacing w:val="-61"/>
          <w:w w:val="105"/>
          <w:sz w:val="20"/>
        </w:rPr>
        <w:t> </w:t>
      </w:r>
      <w:r>
        <w:rPr>
          <w:color w:val="333333"/>
          <w:w w:val="105"/>
          <w:sz w:val="20"/>
        </w:rPr>
        <w:t>largest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to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smallest</w:t>
      </w:r>
      <w:r>
        <w:rPr>
          <w:color w:val="333333"/>
          <w:spacing w:val="-8"/>
          <w:w w:val="105"/>
          <w:sz w:val="20"/>
        </w:rPr>
        <w:t> </w:t>
      </w:r>
      <w:r>
        <w:rPr>
          <w:color w:val="333333"/>
          <w:w w:val="105"/>
          <w:sz w:val="20"/>
        </w:rPr>
        <w:t>from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left</w:t>
      </w:r>
      <w:r>
        <w:rPr>
          <w:color w:val="333333"/>
          <w:spacing w:val="-9"/>
          <w:w w:val="105"/>
          <w:sz w:val="20"/>
        </w:rPr>
        <w:t> </w:t>
      </w:r>
      <w:r>
        <w:rPr>
          <w:color w:val="333333"/>
          <w:w w:val="105"/>
          <w:sz w:val="20"/>
        </w:rPr>
        <w:t>to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right.</w:t>
      </w:r>
    </w:p>
    <w:p>
      <w:pPr>
        <w:pStyle w:val="ListParagraph"/>
        <w:numPr>
          <w:ilvl w:val="0"/>
          <w:numId w:val="1"/>
        </w:numPr>
        <w:tabs>
          <w:tab w:pos="1904" w:val="left" w:leader="none"/>
        </w:tabs>
        <w:spacing w:line="247" w:lineRule="auto" w:before="204" w:after="0"/>
        <w:ind w:left="1903" w:right="535" w:hanging="360"/>
        <w:jc w:val="left"/>
        <w:rPr>
          <w:sz w:val="20"/>
        </w:rPr>
      </w:pPr>
      <w:r>
        <w:rPr>
          <w:color w:val="333333"/>
          <w:w w:val="105"/>
          <w:sz w:val="20"/>
        </w:rPr>
        <w:t>Draw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label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right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vertical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axis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“Cumulative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Percentage,”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from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0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to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100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percent,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with</w:t>
      </w:r>
      <w:r>
        <w:rPr>
          <w:color w:val="333333"/>
          <w:spacing w:val="-60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100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percent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value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at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same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height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as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grand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total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mark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on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left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vertical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axis.</w:t>
      </w:r>
    </w:p>
    <w:p>
      <w:pPr>
        <w:pStyle w:val="ListParagraph"/>
        <w:numPr>
          <w:ilvl w:val="0"/>
          <w:numId w:val="1"/>
        </w:numPr>
        <w:tabs>
          <w:tab w:pos="1904" w:val="left" w:leader="none"/>
        </w:tabs>
        <w:spacing w:line="247" w:lineRule="auto" w:before="203" w:after="0"/>
        <w:ind w:left="1903" w:right="525" w:hanging="360"/>
        <w:jc w:val="left"/>
        <w:rPr>
          <w:sz w:val="20"/>
        </w:rPr>
      </w:pPr>
      <w:r>
        <w:rPr>
          <w:color w:val="333333"/>
          <w:w w:val="105"/>
          <w:sz w:val="20"/>
        </w:rPr>
        <w:t>Draw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a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line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graph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cumulative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percentage,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beginning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with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lower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left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corner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1"/>
          <w:w w:val="105"/>
          <w:sz w:val="20"/>
        </w:rPr>
        <w:t> </w:t>
      </w:r>
      <w:r>
        <w:rPr>
          <w:color w:val="333333"/>
          <w:w w:val="105"/>
          <w:sz w:val="20"/>
        </w:rPr>
        <w:t>largest</w:t>
      </w:r>
      <w:r>
        <w:rPr>
          <w:color w:val="333333"/>
          <w:spacing w:val="-9"/>
          <w:w w:val="105"/>
          <w:sz w:val="20"/>
        </w:rPr>
        <w:t> </w:t>
      </w:r>
      <w:r>
        <w:rPr>
          <w:color w:val="333333"/>
          <w:w w:val="105"/>
          <w:sz w:val="20"/>
        </w:rPr>
        <w:t>category</w:t>
      </w:r>
      <w:r>
        <w:rPr>
          <w:color w:val="333333"/>
          <w:spacing w:val="-8"/>
          <w:w w:val="105"/>
          <w:sz w:val="20"/>
        </w:rPr>
        <w:t> </w:t>
      </w:r>
      <w:r>
        <w:rPr>
          <w:color w:val="333333"/>
          <w:w w:val="105"/>
          <w:sz w:val="20"/>
        </w:rPr>
        <w:t>(the</w:t>
      </w:r>
      <w:r>
        <w:rPr>
          <w:color w:val="333333"/>
          <w:spacing w:val="-9"/>
          <w:w w:val="105"/>
          <w:sz w:val="20"/>
        </w:rPr>
        <w:t> </w:t>
      </w:r>
      <w:r>
        <w:rPr>
          <w:color w:val="333333"/>
          <w:w w:val="105"/>
          <w:sz w:val="20"/>
        </w:rPr>
        <w:t>“0”</w:t>
      </w:r>
      <w:r>
        <w:rPr>
          <w:color w:val="333333"/>
          <w:spacing w:val="-8"/>
          <w:w w:val="105"/>
          <w:sz w:val="20"/>
        </w:rPr>
        <w:t> </w:t>
      </w:r>
      <w:r>
        <w:rPr>
          <w:color w:val="333333"/>
          <w:w w:val="105"/>
          <w:sz w:val="20"/>
        </w:rPr>
        <w:t>point).</w:t>
      </w:r>
    </w:p>
    <w:p>
      <w:pPr>
        <w:pStyle w:val="ListParagraph"/>
        <w:numPr>
          <w:ilvl w:val="0"/>
          <w:numId w:val="1"/>
        </w:numPr>
        <w:tabs>
          <w:tab w:pos="1904" w:val="left" w:leader="none"/>
        </w:tabs>
        <w:spacing w:line="247" w:lineRule="auto" w:before="205" w:after="0"/>
        <w:ind w:left="1903" w:right="603" w:hanging="360"/>
        <w:jc w:val="left"/>
        <w:rPr>
          <w:sz w:val="20"/>
        </w:rPr>
      </w:pPr>
      <w:r>
        <w:rPr>
          <w:color w:val="333333"/>
          <w:w w:val="105"/>
          <w:sz w:val="20"/>
        </w:rPr>
        <w:t>Analyze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4"/>
          <w:w w:val="105"/>
          <w:sz w:val="20"/>
        </w:rPr>
        <w:t> </w:t>
      </w:r>
      <w:r>
        <w:rPr>
          <w:color w:val="333333"/>
          <w:w w:val="105"/>
          <w:sz w:val="20"/>
        </w:rPr>
        <w:t>diagram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to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indicate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333333"/>
          <w:w w:val="105"/>
          <w:sz w:val="20"/>
        </w:rPr>
        <w:t>cumulative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percentage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associated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with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4"/>
          <w:w w:val="105"/>
          <w:sz w:val="20"/>
        </w:rPr>
        <w:t> </w:t>
      </w:r>
      <w:r>
        <w:rPr>
          <w:color w:val="333333"/>
          <w:w w:val="105"/>
          <w:sz w:val="20"/>
        </w:rPr>
        <w:t>“vital</w:t>
      </w:r>
      <w:r>
        <w:rPr>
          <w:color w:val="333333"/>
          <w:spacing w:val="-13"/>
          <w:w w:val="105"/>
          <w:sz w:val="20"/>
        </w:rPr>
        <w:t> </w:t>
      </w:r>
      <w:r>
        <w:rPr>
          <w:color w:val="333333"/>
          <w:w w:val="105"/>
          <w:sz w:val="20"/>
        </w:rPr>
        <w:t>few”</w:t>
      </w:r>
      <w:r>
        <w:rPr>
          <w:color w:val="333333"/>
          <w:spacing w:val="-60"/>
          <w:w w:val="105"/>
          <w:sz w:val="20"/>
        </w:rPr>
        <w:t> </w:t>
      </w:r>
      <w:r>
        <w:rPr>
          <w:color w:val="333333"/>
          <w:w w:val="105"/>
          <w:sz w:val="20"/>
        </w:rPr>
        <w:t>(for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example,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three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error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types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account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for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80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percent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all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errors).</w:t>
      </w:r>
    </w:p>
    <w:p>
      <w:pPr>
        <w:spacing w:after="0" w:line="247" w:lineRule="auto"/>
        <w:jc w:val="left"/>
        <w:rPr>
          <w:sz w:val="20"/>
        </w:rPr>
        <w:sectPr>
          <w:headerReference w:type="default" r:id="rId9"/>
          <w:footerReference w:type="default" r:id="rId10"/>
          <w:pgSz w:w="12240" w:h="15840"/>
          <w:pgMar w:header="869" w:footer="1352" w:top="3280" w:bottom="1540" w:left="760" w:right="460"/>
          <w:pgNumType w:start="2"/>
        </w:sectPr>
      </w:pPr>
    </w:p>
    <w:p>
      <w:pPr>
        <w:pStyle w:val="Heading2"/>
      </w:pPr>
      <w:r>
        <w:rPr>
          <w:w w:val="95"/>
        </w:rPr>
        <w:t>Sample</w:t>
      </w:r>
      <w:r>
        <w:rPr>
          <w:spacing w:val="-5"/>
          <w:w w:val="95"/>
        </w:rPr>
        <w:t> </w:t>
      </w:r>
      <w:r>
        <w:rPr>
          <w:w w:val="95"/>
        </w:rPr>
        <w:t>Pareto:</w:t>
      </w:r>
      <w:r>
        <w:rPr>
          <w:spacing w:val="-4"/>
          <w:w w:val="95"/>
        </w:rPr>
        <w:t> </w:t>
      </w:r>
      <w:r>
        <w:rPr>
          <w:w w:val="95"/>
        </w:rPr>
        <w:t>Errors</w:t>
      </w:r>
      <w:r>
        <w:rPr>
          <w:spacing w:val="-5"/>
          <w:w w:val="95"/>
        </w:rPr>
        <w:t> </w:t>
      </w:r>
      <w:r>
        <w:rPr>
          <w:w w:val="95"/>
        </w:rPr>
        <w:t>During</w:t>
      </w:r>
      <w:r>
        <w:rPr>
          <w:spacing w:val="-4"/>
          <w:w w:val="95"/>
        </w:rPr>
        <w:t> </w:t>
      </w:r>
      <w:r>
        <w:rPr>
          <w:w w:val="95"/>
        </w:rPr>
        <w:t>Surgical</w:t>
      </w:r>
      <w:r>
        <w:rPr>
          <w:spacing w:val="-4"/>
          <w:w w:val="95"/>
        </w:rPr>
        <w:t> </w:t>
      </w:r>
      <w:r>
        <w:rPr>
          <w:w w:val="95"/>
        </w:rPr>
        <w:t>Setup</w:t>
      </w:r>
    </w:p>
    <w:p>
      <w:pPr>
        <w:pStyle w:val="BodyText"/>
        <w:spacing w:before="9"/>
        <w:rPr>
          <w:rFonts w:ascii="Verdana"/>
          <w:b/>
          <w:sz w:val="23"/>
        </w:rPr>
      </w:pPr>
    </w:p>
    <w:p>
      <w:pPr>
        <w:pStyle w:val="BodyText"/>
        <w:spacing w:line="247" w:lineRule="auto"/>
        <w:ind w:left="1544" w:right="404"/>
      </w:pPr>
      <w:r>
        <w:rPr>
          <w:color w:val="333333"/>
          <w:w w:val="105"/>
        </w:rPr>
        <w:t>One team used Pareto analysis to identify the “vital few” factors that contributed to errors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during surgical setup. The team identified eight types of surgical setup errors, and collected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data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frequency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each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type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(see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table).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When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team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displayed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data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Pareto</w:t>
      </w:r>
      <w:r>
        <w:rPr>
          <w:color w:val="333333"/>
          <w:spacing w:val="-60"/>
          <w:w w:val="105"/>
        </w:rPr>
        <w:t> </w:t>
      </w:r>
      <w:r>
        <w:rPr>
          <w:color w:val="333333"/>
          <w:w w:val="105"/>
        </w:rPr>
        <w:t>diagram,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discovered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that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three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types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errors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accounted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80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percent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all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errors.</w:t>
      </w:r>
    </w:p>
    <w:p>
      <w:pPr>
        <w:pStyle w:val="BodyText"/>
        <w:spacing w:line="247" w:lineRule="auto" w:before="1"/>
        <w:ind w:left="1544" w:right="466"/>
      </w:pPr>
      <w:r>
        <w:rPr>
          <w:color w:val="333333"/>
          <w:w w:val="105"/>
        </w:rPr>
        <w:t>Instead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working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all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error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types,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team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focused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its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efforts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these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three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“vital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few”</w:t>
      </w:r>
      <w:r>
        <w:rPr>
          <w:color w:val="333333"/>
          <w:spacing w:val="-60"/>
          <w:w w:val="105"/>
        </w:rPr>
        <w:t> </w:t>
      </w:r>
      <w:r>
        <w:rPr>
          <w:color w:val="333333"/>
          <w:w w:val="105"/>
        </w:rPr>
        <w:t>error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types.</w:t>
      </w:r>
    </w:p>
    <w:p>
      <w:pPr>
        <w:pStyle w:val="BodyText"/>
        <w:rPr>
          <w:sz w:val="24"/>
        </w:rPr>
      </w:pPr>
    </w:p>
    <w:p>
      <w:pPr>
        <w:pStyle w:val="Heading2"/>
        <w:spacing w:before="197"/>
      </w:pPr>
      <w:r>
        <w:rPr>
          <w:color w:val="70849A"/>
          <w:w w:val="95"/>
        </w:rPr>
        <w:t>Sample</w:t>
      </w:r>
      <w:r>
        <w:rPr>
          <w:color w:val="70849A"/>
          <w:spacing w:val="-2"/>
          <w:w w:val="95"/>
        </w:rPr>
        <w:t> </w:t>
      </w:r>
      <w:r>
        <w:rPr>
          <w:color w:val="70849A"/>
          <w:w w:val="95"/>
        </w:rPr>
        <w:t>Data</w:t>
      </w:r>
      <w:r>
        <w:rPr>
          <w:color w:val="70849A"/>
          <w:spacing w:val="-1"/>
          <w:w w:val="95"/>
        </w:rPr>
        <w:t> </w:t>
      </w:r>
      <w:r>
        <w:rPr>
          <w:color w:val="70849A"/>
          <w:w w:val="95"/>
        </w:rPr>
        <w:t>Table:</w:t>
      </w:r>
      <w:r>
        <w:rPr>
          <w:color w:val="70849A"/>
          <w:spacing w:val="-1"/>
          <w:w w:val="95"/>
        </w:rPr>
        <w:t> </w:t>
      </w:r>
      <w:r>
        <w:rPr>
          <w:color w:val="70849A"/>
          <w:w w:val="95"/>
        </w:rPr>
        <w:t>Types</w:t>
      </w:r>
      <w:r>
        <w:rPr>
          <w:color w:val="70849A"/>
          <w:spacing w:val="-1"/>
          <w:w w:val="95"/>
        </w:rPr>
        <w:t> </w:t>
      </w:r>
      <w:r>
        <w:rPr>
          <w:color w:val="70849A"/>
          <w:w w:val="95"/>
        </w:rPr>
        <w:t>of</w:t>
      </w:r>
      <w:r>
        <w:rPr>
          <w:color w:val="70849A"/>
          <w:spacing w:val="-1"/>
          <w:w w:val="95"/>
        </w:rPr>
        <w:t> </w:t>
      </w:r>
      <w:r>
        <w:rPr>
          <w:color w:val="70849A"/>
          <w:w w:val="95"/>
        </w:rPr>
        <w:t>Errors</w:t>
      </w:r>
      <w:r>
        <w:rPr>
          <w:color w:val="70849A"/>
          <w:spacing w:val="-3"/>
          <w:w w:val="95"/>
        </w:rPr>
        <w:t> </w:t>
      </w:r>
      <w:r>
        <w:rPr>
          <w:color w:val="70849A"/>
          <w:w w:val="95"/>
        </w:rPr>
        <w:t>Discovered</w:t>
      </w:r>
      <w:r>
        <w:rPr>
          <w:color w:val="70849A"/>
          <w:spacing w:val="-1"/>
          <w:w w:val="95"/>
        </w:rPr>
        <w:t> </w:t>
      </w:r>
      <w:r>
        <w:rPr>
          <w:color w:val="70849A"/>
          <w:w w:val="95"/>
        </w:rPr>
        <w:t>During</w:t>
      </w:r>
      <w:r>
        <w:rPr>
          <w:color w:val="70849A"/>
          <w:spacing w:val="-1"/>
          <w:w w:val="95"/>
        </w:rPr>
        <w:t> </w:t>
      </w:r>
      <w:r>
        <w:rPr>
          <w:color w:val="70849A"/>
          <w:w w:val="95"/>
        </w:rPr>
        <w:t>Surgical</w:t>
      </w:r>
      <w:r>
        <w:rPr>
          <w:color w:val="70849A"/>
          <w:spacing w:val="-2"/>
          <w:w w:val="95"/>
        </w:rPr>
        <w:t> </w:t>
      </w:r>
      <w:r>
        <w:rPr>
          <w:color w:val="70849A"/>
          <w:w w:val="95"/>
        </w:rPr>
        <w:t>Setup</w:t>
      </w:r>
    </w:p>
    <w:p>
      <w:pPr>
        <w:pStyle w:val="BodyText"/>
        <w:spacing w:before="10"/>
        <w:rPr>
          <w:rFonts w:ascii="Verdana"/>
          <w:b/>
          <w:sz w:val="13"/>
        </w:rPr>
      </w:pPr>
    </w:p>
    <w:tbl>
      <w:tblPr>
        <w:tblW w:w="0" w:type="auto"/>
        <w:jc w:val="left"/>
        <w:tblInd w:w="16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1260"/>
        <w:gridCol w:w="990"/>
        <w:gridCol w:w="1619"/>
      </w:tblGrid>
      <w:tr>
        <w:trPr>
          <w:trHeight w:val="482" w:hRule="atLeast"/>
        </w:trPr>
        <w:tc>
          <w:tcPr>
            <w:tcW w:w="31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108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Error</w:t>
            </w:r>
            <w:r>
              <w:rPr>
                <w:b/>
                <w:color w:val="333333"/>
                <w:spacing w:val="-6"/>
                <w:sz w:val="20"/>
              </w:rPr>
              <w:t> </w:t>
            </w:r>
            <w:r>
              <w:rPr>
                <w:b/>
                <w:color w:val="333333"/>
                <w:sz w:val="20"/>
              </w:rPr>
              <w:t>Type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Frequency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Percent</w:t>
            </w:r>
          </w:p>
        </w:tc>
        <w:tc>
          <w:tcPr>
            <w:tcW w:w="16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5"/>
              <w:rPr>
                <w:b/>
                <w:sz w:val="20"/>
              </w:rPr>
            </w:pPr>
            <w:r>
              <w:rPr>
                <w:b/>
                <w:color w:val="333333"/>
                <w:w w:val="105"/>
                <w:sz w:val="20"/>
              </w:rPr>
              <w:t>Cumulative</w:t>
            </w:r>
            <w:r>
              <w:rPr>
                <w:b/>
                <w:color w:val="333333"/>
                <w:spacing w:val="-4"/>
                <w:w w:val="105"/>
                <w:sz w:val="20"/>
              </w:rPr>
              <w:t> </w:t>
            </w:r>
            <w:r>
              <w:rPr>
                <w:b/>
                <w:color w:val="333333"/>
                <w:w w:val="105"/>
                <w:sz w:val="20"/>
              </w:rPr>
              <w:t>%</w:t>
            </w:r>
          </w:p>
        </w:tc>
      </w:tr>
      <w:tr>
        <w:trPr>
          <w:trHeight w:val="479" w:hRule="atLeast"/>
        </w:trPr>
        <w:tc>
          <w:tcPr>
            <w:tcW w:w="31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33333"/>
                <w:w w:val="110"/>
                <w:sz w:val="20"/>
              </w:rPr>
              <w:t>Wrong</w:t>
            </w:r>
            <w:r>
              <w:rPr>
                <w:color w:val="333333"/>
                <w:spacing w:val="-9"/>
                <w:w w:val="110"/>
                <w:sz w:val="20"/>
              </w:rPr>
              <w:t> </w:t>
            </w:r>
            <w:r>
              <w:rPr>
                <w:color w:val="333333"/>
                <w:w w:val="110"/>
                <w:sz w:val="20"/>
              </w:rPr>
              <w:t>Supplier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67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333333"/>
                <w:sz w:val="20"/>
              </w:rPr>
              <w:t>46.5</w:t>
            </w:r>
          </w:p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333333"/>
                <w:sz w:val="20"/>
              </w:rPr>
              <w:t>46.5</w:t>
            </w:r>
          </w:p>
        </w:tc>
      </w:tr>
      <w:tr>
        <w:trPr>
          <w:trHeight w:val="479" w:hRule="atLeast"/>
        </w:trPr>
        <w:tc>
          <w:tcPr>
            <w:tcW w:w="3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33333"/>
                <w:w w:val="110"/>
                <w:sz w:val="20"/>
              </w:rPr>
              <w:t>Excess</w:t>
            </w:r>
            <w:r>
              <w:rPr>
                <w:color w:val="333333"/>
                <w:spacing w:val="-13"/>
                <w:w w:val="110"/>
                <w:sz w:val="20"/>
              </w:rPr>
              <w:t> </w:t>
            </w:r>
            <w:r>
              <w:rPr>
                <w:color w:val="333333"/>
                <w:w w:val="110"/>
                <w:sz w:val="20"/>
              </w:rPr>
              <w:t>Count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16.7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63.2</w:t>
            </w:r>
          </w:p>
        </w:tc>
      </w:tr>
      <w:tr>
        <w:trPr>
          <w:trHeight w:val="479" w:hRule="atLeast"/>
        </w:trPr>
        <w:tc>
          <w:tcPr>
            <w:tcW w:w="3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33333"/>
                <w:spacing w:val="-1"/>
                <w:w w:val="110"/>
                <w:sz w:val="20"/>
              </w:rPr>
              <w:t>Too</w:t>
            </w:r>
            <w:r>
              <w:rPr>
                <w:color w:val="333333"/>
                <w:spacing w:val="-15"/>
                <w:w w:val="110"/>
                <w:sz w:val="20"/>
              </w:rPr>
              <w:t> </w:t>
            </w:r>
            <w:r>
              <w:rPr>
                <w:color w:val="333333"/>
                <w:spacing w:val="-1"/>
                <w:w w:val="110"/>
                <w:sz w:val="20"/>
              </w:rPr>
              <w:t>Few</w:t>
            </w:r>
            <w:r>
              <w:rPr>
                <w:color w:val="333333"/>
                <w:spacing w:val="-14"/>
                <w:w w:val="110"/>
                <w:sz w:val="20"/>
              </w:rPr>
              <w:t> </w:t>
            </w:r>
            <w:r>
              <w:rPr>
                <w:color w:val="333333"/>
                <w:spacing w:val="-1"/>
                <w:w w:val="110"/>
                <w:sz w:val="20"/>
              </w:rPr>
              <w:t>Count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17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11.8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75</w:t>
            </w:r>
          </w:p>
        </w:tc>
      </w:tr>
      <w:tr>
        <w:trPr>
          <w:trHeight w:val="479" w:hRule="atLeast"/>
        </w:trPr>
        <w:tc>
          <w:tcPr>
            <w:tcW w:w="3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33333"/>
                <w:w w:val="110"/>
                <w:sz w:val="20"/>
              </w:rPr>
              <w:t>Wrong</w:t>
            </w:r>
            <w:r>
              <w:rPr>
                <w:color w:val="333333"/>
                <w:spacing w:val="-7"/>
                <w:w w:val="110"/>
                <w:sz w:val="20"/>
              </w:rPr>
              <w:t> </w:t>
            </w:r>
            <w:r>
              <w:rPr>
                <w:color w:val="333333"/>
                <w:w w:val="110"/>
                <w:sz w:val="20"/>
              </w:rPr>
              <w:t>Size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6.9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81.9</w:t>
            </w:r>
          </w:p>
        </w:tc>
      </w:tr>
      <w:tr>
        <w:trPr>
          <w:trHeight w:val="479" w:hRule="atLeast"/>
        </w:trPr>
        <w:tc>
          <w:tcPr>
            <w:tcW w:w="3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Wrong</w:t>
            </w:r>
            <w:r>
              <w:rPr>
                <w:color w:val="333333"/>
                <w:spacing w:val="2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Sterile</w:t>
            </w:r>
            <w:r>
              <w:rPr>
                <w:color w:val="333333"/>
                <w:spacing w:val="3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Instrument</w:t>
            </w:r>
            <w:r>
              <w:rPr>
                <w:color w:val="333333"/>
                <w:spacing w:val="2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Set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6.9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88.8</w:t>
            </w:r>
          </w:p>
        </w:tc>
      </w:tr>
      <w:tr>
        <w:trPr>
          <w:trHeight w:val="479" w:hRule="atLeast"/>
        </w:trPr>
        <w:tc>
          <w:tcPr>
            <w:tcW w:w="3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33333"/>
                <w:w w:val="110"/>
                <w:sz w:val="20"/>
              </w:rPr>
              <w:t>Missing</w:t>
            </w:r>
            <w:r>
              <w:rPr>
                <w:color w:val="333333"/>
                <w:spacing w:val="-1"/>
                <w:w w:val="110"/>
                <w:sz w:val="20"/>
              </w:rPr>
              <w:t> </w:t>
            </w:r>
            <w:r>
              <w:rPr>
                <w:color w:val="333333"/>
                <w:w w:val="110"/>
                <w:sz w:val="20"/>
              </w:rPr>
              <w:t>Item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333333"/>
                <w:w w:val="106"/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5.6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94.4</w:t>
            </w:r>
          </w:p>
        </w:tc>
      </w:tr>
      <w:tr>
        <w:trPr>
          <w:trHeight w:val="479" w:hRule="atLeast"/>
        </w:trPr>
        <w:tc>
          <w:tcPr>
            <w:tcW w:w="3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Damaged</w:t>
            </w:r>
            <w:r>
              <w:rPr>
                <w:color w:val="333333"/>
                <w:spacing w:val="9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Item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333333"/>
                <w:w w:val="106"/>
                <w:sz w:val="20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333333"/>
                <w:sz w:val="20"/>
              </w:rPr>
              <w:t>4.2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98.6</w:t>
            </w:r>
          </w:p>
        </w:tc>
      </w:tr>
      <w:tr>
        <w:trPr>
          <w:trHeight w:val="479" w:hRule="atLeast"/>
        </w:trPr>
        <w:tc>
          <w:tcPr>
            <w:tcW w:w="3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Other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w w:val="106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1.4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100</w:t>
            </w:r>
          </w:p>
        </w:tc>
      </w:tr>
      <w:tr>
        <w:trPr>
          <w:trHeight w:val="481" w:hRule="atLeast"/>
        </w:trPr>
        <w:tc>
          <w:tcPr>
            <w:tcW w:w="311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108"/>
              <w:rPr>
                <w:b/>
                <w:sz w:val="20"/>
              </w:rPr>
            </w:pPr>
            <w:r>
              <w:rPr>
                <w:b/>
                <w:color w:val="333333"/>
                <w:w w:val="105"/>
                <w:sz w:val="20"/>
              </w:rPr>
              <w:t>TOTAL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123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144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100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869" w:footer="1352" w:top="3280" w:bottom="1540" w:left="760" w:right="460"/>
        </w:sectPr>
      </w:pPr>
    </w:p>
    <w:p>
      <w:pPr>
        <w:spacing w:before="160"/>
        <w:ind w:left="1548" w:right="1525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color w:val="70849A"/>
          <w:w w:val="95"/>
          <w:sz w:val="20"/>
        </w:rPr>
        <w:t>Sample</w:t>
      </w:r>
      <w:r>
        <w:rPr>
          <w:rFonts w:ascii="Verdana"/>
          <w:b/>
          <w:color w:val="70849A"/>
          <w:spacing w:val="-4"/>
          <w:w w:val="95"/>
          <w:sz w:val="20"/>
        </w:rPr>
        <w:t> </w:t>
      </w:r>
      <w:r>
        <w:rPr>
          <w:rFonts w:ascii="Verdana"/>
          <w:b/>
          <w:color w:val="70849A"/>
          <w:w w:val="95"/>
          <w:sz w:val="20"/>
        </w:rPr>
        <w:t>Pareto</w:t>
      </w:r>
      <w:r>
        <w:rPr>
          <w:rFonts w:ascii="Verdana"/>
          <w:b/>
          <w:color w:val="70849A"/>
          <w:spacing w:val="-2"/>
          <w:w w:val="95"/>
          <w:sz w:val="20"/>
        </w:rPr>
        <w:t> </w:t>
      </w:r>
      <w:r>
        <w:rPr>
          <w:rFonts w:ascii="Verdana"/>
          <w:b/>
          <w:color w:val="70849A"/>
          <w:w w:val="95"/>
          <w:sz w:val="20"/>
        </w:rPr>
        <w:t>Diagram:</w:t>
      </w:r>
      <w:r>
        <w:rPr>
          <w:rFonts w:ascii="Verdana"/>
          <w:b/>
          <w:color w:val="70849A"/>
          <w:spacing w:val="-3"/>
          <w:w w:val="95"/>
          <w:sz w:val="20"/>
        </w:rPr>
        <w:t> </w:t>
      </w:r>
      <w:r>
        <w:rPr>
          <w:rFonts w:ascii="Verdana"/>
          <w:b/>
          <w:color w:val="70849A"/>
          <w:w w:val="95"/>
          <w:sz w:val="20"/>
        </w:rPr>
        <w:t>Types</w:t>
      </w:r>
      <w:r>
        <w:rPr>
          <w:rFonts w:ascii="Verdana"/>
          <w:b/>
          <w:color w:val="70849A"/>
          <w:spacing w:val="-2"/>
          <w:w w:val="95"/>
          <w:sz w:val="20"/>
        </w:rPr>
        <w:t> </w:t>
      </w:r>
      <w:r>
        <w:rPr>
          <w:rFonts w:ascii="Verdana"/>
          <w:b/>
          <w:color w:val="70849A"/>
          <w:w w:val="95"/>
          <w:sz w:val="20"/>
        </w:rPr>
        <w:t>of</w:t>
      </w:r>
      <w:r>
        <w:rPr>
          <w:rFonts w:ascii="Verdana"/>
          <w:b/>
          <w:color w:val="70849A"/>
          <w:spacing w:val="-3"/>
          <w:w w:val="95"/>
          <w:sz w:val="20"/>
        </w:rPr>
        <w:t> </w:t>
      </w:r>
      <w:r>
        <w:rPr>
          <w:rFonts w:ascii="Verdana"/>
          <w:b/>
          <w:color w:val="70849A"/>
          <w:w w:val="95"/>
          <w:sz w:val="20"/>
        </w:rPr>
        <w:t>Errors</w:t>
      </w:r>
      <w:r>
        <w:rPr>
          <w:rFonts w:ascii="Verdana"/>
          <w:b/>
          <w:color w:val="70849A"/>
          <w:spacing w:val="-2"/>
          <w:w w:val="95"/>
          <w:sz w:val="20"/>
        </w:rPr>
        <w:t> </w:t>
      </w:r>
      <w:r>
        <w:rPr>
          <w:rFonts w:ascii="Verdana"/>
          <w:b/>
          <w:color w:val="70849A"/>
          <w:w w:val="95"/>
          <w:sz w:val="20"/>
        </w:rPr>
        <w:t>Discovered</w:t>
      </w:r>
      <w:r>
        <w:rPr>
          <w:rFonts w:ascii="Verdana"/>
          <w:b/>
          <w:color w:val="70849A"/>
          <w:spacing w:val="-3"/>
          <w:w w:val="95"/>
          <w:sz w:val="20"/>
        </w:rPr>
        <w:t> </w:t>
      </w:r>
      <w:r>
        <w:rPr>
          <w:rFonts w:ascii="Verdana"/>
          <w:b/>
          <w:color w:val="70849A"/>
          <w:w w:val="95"/>
          <w:sz w:val="20"/>
        </w:rPr>
        <w:t>During</w:t>
      </w:r>
      <w:r>
        <w:rPr>
          <w:rFonts w:ascii="Verdana"/>
          <w:b/>
          <w:color w:val="70849A"/>
          <w:spacing w:val="-2"/>
          <w:w w:val="95"/>
          <w:sz w:val="20"/>
        </w:rPr>
        <w:t> </w:t>
      </w:r>
      <w:r>
        <w:rPr>
          <w:rFonts w:ascii="Verdana"/>
          <w:b/>
          <w:color w:val="70849A"/>
          <w:w w:val="95"/>
          <w:sz w:val="20"/>
        </w:rPr>
        <w:t>Surgical</w:t>
      </w:r>
      <w:r>
        <w:rPr>
          <w:rFonts w:ascii="Verdana"/>
          <w:b/>
          <w:color w:val="70849A"/>
          <w:spacing w:val="-4"/>
          <w:w w:val="95"/>
          <w:sz w:val="20"/>
        </w:rPr>
        <w:t> </w:t>
      </w:r>
      <w:r>
        <w:rPr>
          <w:rFonts w:ascii="Verdana"/>
          <w:b/>
          <w:color w:val="70849A"/>
          <w:w w:val="95"/>
          <w:sz w:val="20"/>
        </w:rPr>
        <w:t>Setup</w:t>
      </w:r>
    </w:p>
    <w:p>
      <w:pPr>
        <w:pStyle w:val="BodyText"/>
        <w:spacing w:before="7"/>
        <w:rPr>
          <w:rFonts w:ascii="Verdana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1463039</wp:posOffset>
            </wp:positionH>
            <wp:positionV relativeFrom="paragraph">
              <wp:posOffset>106954</wp:posOffset>
            </wp:positionV>
            <wp:extent cx="5629944" cy="3396424"/>
            <wp:effectExtent l="0" t="0" r="0" b="0"/>
            <wp:wrapTopAndBottom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944" cy="339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869" w:footer="1352" w:top="3280" w:bottom="1540" w:left="7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3696">
          <wp:simplePos x="0" y="0"/>
          <wp:positionH relativeFrom="page">
            <wp:posOffset>519683</wp:posOffset>
          </wp:positionH>
          <wp:positionV relativeFrom="page">
            <wp:posOffset>9073133</wp:posOffset>
          </wp:positionV>
          <wp:extent cx="502920" cy="502920"/>
          <wp:effectExtent l="0" t="0" r="0" b="0"/>
          <wp:wrapNone/>
          <wp:docPr id="1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.66pt;margin-top:727.315979pt;width:12.7pt;height:16.4pt;mso-position-horizontal-relative:page;mso-position-vertical-relative:page;z-index:-15862272" type="#_x0000_t20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w w:val="106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4.47995pt;margin-top:745.462952pt;width:209.75pt;height:11.6pt;mso-position-horizontal-relative:page;mso-position-vertical-relative:page;z-index:-158617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Copyright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©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2004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Institute</w:t>
                </w:r>
                <w:r>
                  <w:rPr>
                    <w:spacing w:val="-9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for</w:t>
                </w:r>
                <w:r>
                  <w:rPr>
                    <w:spacing w:val="-9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Healthcare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Improvement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0624">
          <wp:simplePos x="0" y="0"/>
          <wp:positionH relativeFrom="page">
            <wp:posOffset>434340</wp:posOffset>
          </wp:positionH>
          <wp:positionV relativeFrom="page">
            <wp:posOffset>551687</wp:posOffset>
          </wp:positionV>
          <wp:extent cx="1005840" cy="100584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34.259998pt;margin-top:160.470001pt;width:80.6pt;height:3pt;mso-position-horizontal-relative:page;mso-position-vertical-relative:page;z-index:-15865344" coordorigin="685,3209" coordsize="1612,60">
          <v:rect style="position:absolute;left:685;top:3209;width:1612;height:30" filled="true" fillcolor="#ffd28f" stroked="false">
            <v:fill type="solid"/>
          </v:rect>
          <v:rect style="position:absolute;left:685;top:3239;width:1611;height:30" filled="true" fillcolor="#fef1de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080002pt;margin-top:151.150223pt;width:94.85pt;height:14.45pt;mso-position-horizontal-relative:page;mso-position-vertical-relative:page;z-index:-15864832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w w:val="95"/>
                  </w:rPr>
                  <w:t>Process</w:t>
                </w:r>
                <w:r>
                  <w:rPr>
                    <w:rFonts w:ascii="Tahoma"/>
                    <w:spacing w:val="-11"/>
                    <w:w w:val="95"/>
                  </w:rPr>
                  <w:t> </w:t>
                </w:r>
                <w:r>
                  <w:rPr>
                    <w:rFonts w:ascii="Tahoma"/>
                    <w:w w:val="95"/>
                  </w:rPr>
                  <w:t>Analysis</w:t>
                </w:r>
                <w:r>
                  <w:rPr>
                    <w:rFonts w:ascii="Tahoma"/>
                    <w:spacing w:val="-10"/>
                    <w:w w:val="95"/>
                  </w:rPr>
                  <w:t> </w:t>
                </w:r>
                <w:r>
                  <w:rPr>
                    <w:rFonts w:ascii="Tahoma"/>
                    <w:w w:val="95"/>
                  </w:rPr>
                  <w:t>Tools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2160">
          <wp:simplePos x="0" y="0"/>
          <wp:positionH relativeFrom="page">
            <wp:posOffset>434340</wp:posOffset>
          </wp:positionH>
          <wp:positionV relativeFrom="page">
            <wp:posOffset>551687</wp:posOffset>
          </wp:positionV>
          <wp:extent cx="1005840" cy="1005840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34.259998pt;margin-top:160.470001pt;width:80.6pt;height:3pt;mso-position-horizontal-relative:page;mso-position-vertical-relative:page;z-index:-15863808" coordorigin="685,3209" coordsize="1612,60">
          <v:rect style="position:absolute;left:685;top:3209;width:1612;height:30" filled="true" fillcolor="#ffd28f" stroked="false">
            <v:fill type="solid"/>
          </v:rect>
          <v:rect style="position:absolute;left:685;top:3239;width:1611;height:30" filled="true" fillcolor="#fef1de" stroked="false">
            <v:fill type="solid"/>
          </v:rect>
          <w10:wrap type="none"/>
        </v:group>
      </w:pict>
    </w:r>
    <w:r>
      <w:rPr/>
      <w:pict>
        <v:shape style="position:absolute;margin-left:114.080002pt;margin-top:151.150223pt;width:64.8pt;height:14.45pt;mso-position-horizontal-relative:page;mso-position-vertical-relative:page;z-index:-15863296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w w:val="90"/>
                  </w:rPr>
                  <w:t>Pareto</w:t>
                </w:r>
                <w:r>
                  <w:rPr>
                    <w:rFonts w:ascii="Tahoma"/>
                    <w:spacing w:val="3"/>
                    <w:w w:val="90"/>
                  </w:rPr>
                  <w:t> </w:t>
                </w:r>
                <w:r>
                  <w:rPr>
                    <w:rFonts w:ascii="Tahoma"/>
                    <w:w w:val="90"/>
                  </w:rPr>
                  <w:t>Diagram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904" w:hanging="360"/>
        <w:jc w:val="left"/>
      </w:pPr>
      <w:rPr>
        <w:rFonts w:hint="default" w:ascii="Trebuchet MS" w:hAnsi="Trebuchet MS" w:eastAsia="Trebuchet MS" w:cs="Trebuchet MS"/>
        <w:b/>
        <w:bCs/>
        <w:color w:val="333333"/>
        <w:w w:val="8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2"/>
      <w:ind w:left="60"/>
      <w:outlineLvl w:val="1"/>
    </w:pPr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60"/>
      <w:ind w:left="1544"/>
      <w:outlineLvl w:val="2"/>
    </w:pPr>
    <w:rPr>
      <w:rFonts w:ascii="Verdana" w:hAnsi="Verdana" w:eastAsia="Verdana" w:cs="Verdan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904"/>
    </w:pPr>
    <w:rPr>
      <w:rFonts w:ascii="Tahoma" w:hAnsi="Tahoma" w:eastAsia="Tahoma" w:cs="Tahoma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04"/>
      <w:ind w:left="1903" w:right="478" w:hanging="36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1"/>
      <w:ind w:left="122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Company>https://www.wordstemplates.org/;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Pareto Diagram - Process Analysis Tools</dc:title>
  <dc:subject>Pareto Diagram - Process Analysis Tools</dc:subject>
  <dc:creator>https://www.wordstemplates.org/</dc:creator>
  <dcterms:created xsi:type="dcterms:W3CDTF">2023-09-15T09:34:25Z</dcterms:created>
  <dcterms:modified xsi:type="dcterms:W3CDTF">2023-09-15T09:34:25Z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2023-09-15T00:00:00Z</vt:filetime>
  </property>
</Properties>
</file>