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t>Sample</w:t>
      </w:r>
      <w:r>
        <w:rPr>
          <w:spacing w:val="-18"/>
        </w:rPr>
        <w:t> </w:t>
      </w:r>
      <w:r>
        <w:rPr/>
        <w:t>Community</w:t>
      </w:r>
      <w:r>
        <w:rPr>
          <w:spacing w:val="-16"/>
        </w:rPr>
        <w:t> </w:t>
      </w:r>
      <w:r>
        <w:rPr/>
        <w:t>Needs</w:t>
      </w:r>
      <w:r>
        <w:rPr>
          <w:spacing w:val="-12"/>
        </w:rPr>
        <w:t> </w:t>
      </w:r>
      <w:r>
        <w:rPr/>
        <w:t>Assessment</w:t>
      </w:r>
      <w:r>
        <w:rPr>
          <w:spacing w:val="-13"/>
        </w:rPr>
        <w:t> </w:t>
      </w:r>
      <w:r>
        <w:rPr>
          <w:spacing w:val="-2"/>
        </w:rPr>
        <w:t>Report</w:t>
      </w:r>
    </w:p>
    <w:p>
      <w:pPr>
        <w:pStyle w:val="BodyText"/>
        <w:rPr>
          <w:b/>
          <w:sz w:val="30"/>
        </w:rPr>
      </w:pPr>
    </w:p>
    <w:p>
      <w:pPr>
        <w:pStyle w:val="BodyText"/>
        <w:rPr>
          <w:b/>
          <w:sz w:val="29"/>
        </w:rPr>
      </w:pPr>
    </w:p>
    <w:p>
      <w:pPr>
        <w:pStyle w:val="ListParagraph"/>
        <w:numPr>
          <w:ilvl w:val="0"/>
          <w:numId w:val="1"/>
        </w:numPr>
        <w:tabs>
          <w:tab w:pos="320" w:val="left" w:leader="none"/>
        </w:tabs>
        <w:spacing w:line="240" w:lineRule="auto" w:before="0" w:after="0"/>
        <w:ind w:left="319" w:right="0" w:hanging="200"/>
        <w:jc w:val="left"/>
        <w:rPr>
          <w:sz w:val="24"/>
        </w:rPr>
      </w:pPr>
      <w:r>
        <w:rPr>
          <w:sz w:val="24"/>
        </w:rPr>
        <w:t>Overview</w:t>
      </w:r>
      <w:r>
        <w:rPr>
          <w:spacing w:val="-7"/>
          <w:sz w:val="24"/>
        </w:rPr>
        <w:t> </w:t>
      </w:r>
      <w:r>
        <w:rPr>
          <w:sz w:val="24"/>
        </w:rPr>
        <w:t>of</w:t>
      </w:r>
      <w:r>
        <w:rPr>
          <w:spacing w:val="-7"/>
          <w:sz w:val="24"/>
        </w:rPr>
        <w:t> </w:t>
      </w:r>
      <w:r>
        <w:rPr>
          <w:sz w:val="24"/>
        </w:rPr>
        <w:t>the</w:t>
      </w:r>
      <w:r>
        <w:rPr>
          <w:spacing w:val="-6"/>
          <w:sz w:val="24"/>
        </w:rPr>
        <w:t> </w:t>
      </w:r>
      <w:r>
        <w:rPr>
          <w:sz w:val="24"/>
        </w:rPr>
        <w:t>Needs</w:t>
      </w:r>
      <w:r>
        <w:rPr>
          <w:spacing w:val="-6"/>
          <w:sz w:val="24"/>
        </w:rPr>
        <w:t> </w:t>
      </w:r>
      <w:r>
        <w:rPr>
          <w:sz w:val="24"/>
        </w:rPr>
        <w:t>Assessment</w:t>
      </w:r>
      <w:r>
        <w:rPr>
          <w:spacing w:val="-6"/>
          <w:sz w:val="24"/>
        </w:rPr>
        <w:t> </w:t>
      </w:r>
      <w:r>
        <w:rPr>
          <w:sz w:val="24"/>
        </w:rPr>
        <w:t>and</w:t>
      </w:r>
      <w:r>
        <w:rPr>
          <w:spacing w:val="-6"/>
          <w:sz w:val="24"/>
        </w:rPr>
        <w:t> </w:t>
      </w:r>
      <w:r>
        <w:rPr>
          <w:sz w:val="24"/>
        </w:rPr>
        <w:t>Project</w:t>
      </w:r>
      <w:r>
        <w:rPr>
          <w:spacing w:val="-6"/>
          <w:sz w:val="24"/>
        </w:rPr>
        <w:t> </w:t>
      </w:r>
      <w:r>
        <w:rPr>
          <w:sz w:val="24"/>
        </w:rPr>
        <w:t>Partners</w:t>
      </w:r>
      <w:r>
        <w:rPr>
          <w:spacing w:val="-6"/>
          <w:sz w:val="24"/>
        </w:rPr>
        <w:t> </w:t>
      </w:r>
      <w:r>
        <w:rPr>
          <w:spacing w:val="-2"/>
          <w:sz w:val="24"/>
        </w:rPr>
        <w:t>Involved</w:t>
      </w:r>
    </w:p>
    <w:p>
      <w:pPr>
        <w:pStyle w:val="BodyText"/>
        <w:rPr>
          <w:sz w:val="26"/>
        </w:rPr>
      </w:pPr>
    </w:p>
    <w:p>
      <w:pPr>
        <w:pStyle w:val="BodyText"/>
        <w:spacing w:before="4"/>
        <w:rPr>
          <w:sz w:val="29"/>
        </w:rPr>
      </w:pPr>
    </w:p>
    <w:p>
      <w:pPr>
        <w:pStyle w:val="BodyText"/>
        <w:spacing w:line="480" w:lineRule="auto"/>
        <w:ind w:left="120" w:right="89"/>
      </w:pPr>
      <w:r>
        <w:rPr/>
        <w:t>The following information was gathered in a community-based needs assessment conducted in the Cumberland County, Maine, area during December 2009 and January and February 2010. Project</w:t>
      </w:r>
      <w:r>
        <w:rPr>
          <w:spacing w:val="-5"/>
        </w:rPr>
        <w:t> </w:t>
      </w:r>
      <w:r>
        <w:rPr/>
        <w:t>partners</w:t>
      </w:r>
      <w:r>
        <w:rPr>
          <w:spacing w:val="-5"/>
        </w:rPr>
        <w:t> </w:t>
      </w:r>
      <w:r>
        <w:rPr/>
        <w:t>include</w:t>
      </w:r>
      <w:r>
        <w:rPr>
          <w:spacing w:val="-5"/>
        </w:rPr>
        <w:t> </w:t>
      </w:r>
      <w:r>
        <w:rPr/>
        <w:t>Family</w:t>
      </w:r>
      <w:r>
        <w:rPr>
          <w:spacing w:val="-4"/>
        </w:rPr>
        <w:t> </w:t>
      </w:r>
      <w:r>
        <w:rPr/>
        <w:t>Crisis</w:t>
      </w:r>
      <w:r>
        <w:rPr>
          <w:spacing w:val="-4"/>
        </w:rPr>
        <w:t> </w:t>
      </w:r>
      <w:r>
        <w:rPr/>
        <w:t>Services</w:t>
      </w:r>
      <w:r>
        <w:rPr>
          <w:spacing w:val="-4"/>
        </w:rPr>
        <w:t> </w:t>
      </w:r>
      <w:r>
        <w:rPr/>
        <w:t>(FCS),</w:t>
      </w:r>
      <w:r>
        <w:rPr>
          <w:spacing w:val="-4"/>
        </w:rPr>
        <w:t> </w:t>
      </w:r>
      <w:r>
        <w:rPr/>
        <w:t>the</w:t>
      </w:r>
      <w:r>
        <w:rPr>
          <w:spacing w:val="-4"/>
        </w:rPr>
        <w:t> </w:t>
      </w:r>
      <w:r>
        <w:rPr/>
        <w:t>Portland</w:t>
      </w:r>
      <w:r>
        <w:rPr>
          <w:spacing w:val="-4"/>
        </w:rPr>
        <w:t> </w:t>
      </w:r>
      <w:r>
        <w:rPr/>
        <w:t>(Maine)</w:t>
      </w:r>
      <w:r>
        <w:rPr>
          <w:spacing w:val="-4"/>
        </w:rPr>
        <w:t> </w:t>
      </w:r>
      <w:r>
        <w:rPr/>
        <w:t>Police</w:t>
      </w:r>
      <w:r>
        <w:rPr>
          <w:spacing w:val="-4"/>
        </w:rPr>
        <w:t> </w:t>
      </w:r>
      <w:r>
        <w:rPr/>
        <w:t>Department, and the South Portland (Maine) Police Department.</w:t>
      </w:r>
    </w:p>
    <w:p>
      <w:pPr>
        <w:pStyle w:val="BodyText"/>
        <w:spacing w:before="2"/>
        <w:rPr>
          <w:sz w:val="31"/>
        </w:rPr>
      </w:pPr>
    </w:p>
    <w:p>
      <w:pPr>
        <w:pStyle w:val="ListParagraph"/>
        <w:numPr>
          <w:ilvl w:val="0"/>
          <w:numId w:val="1"/>
        </w:numPr>
        <w:tabs>
          <w:tab w:pos="400" w:val="left" w:leader="none"/>
        </w:tabs>
        <w:spacing w:line="240" w:lineRule="auto" w:before="1" w:after="0"/>
        <w:ind w:left="399" w:right="0" w:hanging="280"/>
        <w:jc w:val="left"/>
        <w:rPr>
          <w:sz w:val="24"/>
        </w:rPr>
      </w:pPr>
      <w:r>
        <w:rPr>
          <w:sz w:val="24"/>
        </w:rPr>
        <w:t>Methods</w:t>
      </w:r>
      <w:r>
        <w:rPr>
          <w:spacing w:val="-5"/>
          <w:sz w:val="24"/>
        </w:rPr>
        <w:t> </w:t>
      </w:r>
      <w:r>
        <w:rPr>
          <w:sz w:val="24"/>
        </w:rPr>
        <w:t>Used</w:t>
      </w:r>
      <w:r>
        <w:rPr>
          <w:spacing w:val="-5"/>
          <w:sz w:val="24"/>
        </w:rPr>
        <w:t> </w:t>
      </w:r>
      <w:r>
        <w:rPr>
          <w:sz w:val="24"/>
        </w:rPr>
        <w:t>To</w:t>
      </w:r>
      <w:r>
        <w:rPr>
          <w:spacing w:val="-4"/>
          <w:sz w:val="24"/>
        </w:rPr>
        <w:t> </w:t>
      </w:r>
      <w:r>
        <w:rPr>
          <w:sz w:val="24"/>
        </w:rPr>
        <w:t>Gather</w:t>
      </w:r>
      <w:r>
        <w:rPr>
          <w:spacing w:val="-4"/>
          <w:sz w:val="24"/>
        </w:rPr>
        <w:t> </w:t>
      </w:r>
      <w:r>
        <w:rPr>
          <w:spacing w:val="-2"/>
          <w:sz w:val="24"/>
        </w:rPr>
        <w:t>Information</w:t>
      </w:r>
    </w:p>
    <w:p>
      <w:pPr>
        <w:pStyle w:val="BodyText"/>
        <w:rPr>
          <w:sz w:val="26"/>
        </w:rPr>
      </w:pPr>
    </w:p>
    <w:p>
      <w:pPr>
        <w:pStyle w:val="BodyText"/>
        <w:spacing w:before="3"/>
        <w:rPr>
          <w:sz w:val="29"/>
        </w:rPr>
      </w:pPr>
    </w:p>
    <w:p>
      <w:pPr>
        <w:pStyle w:val="BodyText"/>
        <w:ind w:left="120"/>
      </w:pPr>
      <w:r>
        <w:rPr/>
        <w:t>Methods</w:t>
      </w:r>
      <w:r>
        <w:rPr>
          <w:spacing w:val="-9"/>
        </w:rPr>
        <w:t> </w:t>
      </w:r>
      <w:r>
        <w:rPr/>
        <w:t>used</w:t>
      </w:r>
      <w:r>
        <w:rPr>
          <w:spacing w:val="-8"/>
        </w:rPr>
        <w:t> </w:t>
      </w:r>
      <w:r>
        <w:rPr/>
        <w:t>to</w:t>
      </w:r>
      <w:r>
        <w:rPr>
          <w:spacing w:val="-8"/>
        </w:rPr>
        <w:t> </w:t>
      </w:r>
      <w:r>
        <w:rPr/>
        <w:t>collect</w:t>
      </w:r>
      <w:r>
        <w:rPr>
          <w:spacing w:val="-8"/>
        </w:rPr>
        <w:t> </w:t>
      </w:r>
      <w:r>
        <w:rPr/>
        <w:t>data</w:t>
      </w:r>
      <w:r>
        <w:rPr>
          <w:spacing w:val="-9"/>
        </w:rPr>
        <w:t> </w:t>
      </w:r>
      <w:r>
        <w:rPr/>
        <w:t>included</w:t>
      </w:r>
      <w:r>
        <w:rPr>
          <w:spacing w:val="-8"/>
        </w:rPr>
        <w:t> </w:t>
      </w:r>
      <w:r>
        <w:rPr/>
        <w:t>written</w:t>
      </w:r>
      <w:r>
        <w:rPr>
          <w:spacing w:val="-8"/>
        </w:rPr>
        <w:t> </w:t>
      </w:r>
      <w:r>
        <w:rPr/>
        <w:t>surveys,</w:t>
      </w:r>
      <w:r>
        <w:rPr>
          <w:spacing w:val="-8"/>
        </w:rPr>
        <w:t> </w:t>
      </w:r>
      <w:r>
        <w:rPr/>
        <w:t>individual</w:t>
      </w:r>
      <w:r>
        <w:rPr>
          <w:spacing w:val="-7"/>
        </w:rPr>
        <w:t> </w:t>
      </w:r>
      <w:r>
        <w:rPr/>
        <w:t>interviews,</w:t>
      </w:r>
      <w:r>
        <w:rPr>
          <w:spacing w:val="-8"/>
        </w:rPr>
        <w:t> </w:t>
      </w:r>
      <w:r>
        <w:rPr/>
        <w:t>and</w:t>
      </w:r>
      <w:r>
        <w:rPr>
          <w:spacing w:val="-8"/>
        </w:rPr>
        <w:t> </w:t>
      </w:r>
      <w:r>
        <w:rPr/>
        <w:t>focus</w:t>
      </w:r>
      <w:r>
        <w:rPr>
          <w:spacing w:val="-9"/>
        </w:rPr>
        <w:t> </w:t>
      </w:r>
      <w:r>
        <w:rPr>
          <w:spacing w:val="-2"/>
        </w:rPr>
        <w:t>groups.</w:t>
      </w:r>
    </w:p>
    <w:p>
      <w:pPr>
        <w:pStyle w:val="BodyText"/>
        <w:rPr>
          <w:sz w:val="26"/>
        </w:rPr>
      </w:pPr>
    </w:p>
    <w:p>
      <w:pPr>
        <w:pStyle w:val="BodyText"/>
        <w:spacing w:before="3"/>
        <w:rPr>
          <w:sz w:val="29"/>
        </w:rPr>
      </w:pPr>
    </w:p>
    <w:p>
      <w:pPr>
        <w:pStyle w:val="ListParagraph"/>
        <w:numPr>
          <w:ilvl w:val="0"/>
          <w:numId w:val="1"/>
        </w:numPr>
        <w:tabs>
          <w:tab w:pos="481" w:val="left" w:leader="none"/>
        </w:tabs>
        <w:spacing w:line="240" w:lineRule="auto" w:before="1" w:after="0"/>
        <w:ind w:left="480" w:right="0" w:hanging="361"/>
        <w:jc w:val="left"/>
        <w:rPr>
          <w:sz w:val="24"/>
        </w:rPr>
      </w:pPr>
      <w:r>
        <w:rPr>
          <w:spacing w:val="-2"/>
          <w:sz w:val="24"/>
        </w:rPr>
        <w:t>Participation</w:t>
      </w:r>
    </w:p>
    <w:p>
      <w:pPr>
        <w:pStyle w:val="BodyText"/>
        <w:rPr>
          <w:sz w:val="26"/>
        </w:rPr>
      </w:pPr>
    </w:p>
    <w:p>
      <w:pPr>
        <w:pStyle w:val="BodyText"/>
        <w:spacing w:before="3"/>
        <w:rPr>
          <w:sz w:val="29"/>
        </w:rPr>
      </w:pPr>
    </w:p>
    <w:p>
      <w:pPr>
        <w:pStyle w:val="BodyText"/>
        <w:spacing w:line="480" w:lineRule="auto"/>
        <w:ind w:left="119" w:right="89"/>
      </w:pPr>
      <w:r>
        <w:rPr/>
        <w:t>Of the surveys distributed to Portland and South Portland Police Department law enforcement officers, 100 completed surveys were returned. Additional surveys were received from staff at Strive</w:t>
      </w:r>
      <w:r>
        <w:rPr>
          <w:spacing w:val="-4"/>
        </w:rPr>
        <w:t> </w:t>
      </w:r>
      <w:r>
        <w:rPr/>
        <w:t>University,</w:t>
      </w:r>
      <w:r>
        <w:rPr>
          <w:spacing w:val="-4"/>
        </w:rPr>
        <w:t> </w:t>
      </w:r>
      <w:r>
        <w:rPr/>
        <w:t>Alpha</w:t>
      </w:r>
      <w:r>
        <w:rPr>
          <w:spacing w:val="-4"/>
        </w:rPr>
        <w:t> </w:t>
      </w:r>
      <w:r>
        <w:rPr/>
        <w:t>One</w:t>
      </w:r>
      <w:r>
        <w:rPr>
          <w:spacing w:val="-4"/>
        </w:rPr>
        <w:t> </w:t>
      </w:r>
      <w:r>
        <w:rPr/>
        <w:t>(Center</w:t>
      </w:r>
      <w:r>
        <w:rPr>
          <w:spacing w:val="-3"/>
        </w:rPr>
        <w:t> </w:t>
      </w:r>
      <w:r>
        <w:rPr/>
        <w:t>for</w:t>
      </w:r>
      <w:r>
        <w:rPr>
          <w:spacing w:val="-3"/>
        </w:rPr>
        <w:t> </w:t>
      </w:r>
      <w:r>
        <w:rPr/>
        <w:t>Independent</w:t>
      </w:r>
      <w:r>
        <w:rPr>
          <w:spacing w:val="-3"/>
        </w:rPr>
        <w:t> </w:t>
      </w:r>
      <w:r>
        <w:rPr/>
        <w:t>Living),</w:t>
      </w:r>
      <w:r>
        <w:rPr>
          <w:spacing w:val="-3"/>
        </w:rPr>
        <w:t> </w:t>
      </w:r>
      <w:r>
        <w:rPr/>
        <w:t>adult</w:t>
      </w:r>
      <w:r>
        <w:rPr>
          <w:spacing w:val="-4"/>
        </w:rPr>
        <w:t> </w:t>
      </w:r>
      <w:r>
        <w:rPr/>
        <w:t>protective</w:t>
      </w:r>
      <w:r>
        <w:rPr>
          <w:spacing w:val="-4"/>
        </w:rPr>
        <w:t> </w:t>
      </w:r>
      <w:r>
        <w:rPr/>
        <w:t>services</w:t>
      </w:r>
      <w:r>
        <w:rPr>
          <w:spacing w:val="-4"/>
        </w:rPr>
        <w:t> </w:t>
      </w:r>
      <w:r>
        <w:rPr/>
        <w:t>(DHHS), and Maine Medical Center’s Social Work Department. A total of 20 surveys were received from disability service providers. Of the surveys distributed to staff of victim service agencies, including FCS and Sexual Assault Response Services of Southern Maine, 16 completed surveys were received. Two focus groups were conducted with consumers of the Maine Center on Deafness,</w:t>
      </w:r>
      <w:r>
        <w:rPr>
          <w:spacing w:val="-3"/>
        </w:rPr>
        <w:t> </w:t>
      </w:r>
      <w:r>
        <w:rPr/>
        <w:t>and</w:t>
      </w:r>
      <w:r>
        <w:rPr>
          <w:spacing w:val="-3"/>
        </w:rPr>
        <w:t> </w:t>
      </w:r>
      <w:r>
        <w:rPr/>
        <w:t>two</w:t>
      </w:r>
      <w:r>
        <w:rPr>
          <w:spacing w:val="-3"/>
        </w:rPr>
        <w:t> </w:t>
      </w:r>
      <w:r>
        <w:rPr/>
        <w:t>with</w:t>
      </w:r>
      <w:r>
        <w:rPr>
          <w:spacing w:val="-3"/>
        </w:rPr>
        <w:t> </w:t>
      </w:r>
      <w:r>
        <w:rPr/>
        <w:t>students</w:t>
      </w:r>
      <w:r>
        <w:rPr>
          <w:spacing w:val="-3"/>
        </w:rPr>
        <w:t> </w:t>
      </w:r>
      <w:r>
        <w:rPr/>
        <w:t>of</w:t>
      </w:r>
      <w:r>
        <w:rPr>
          <w:spacing w:val="-4"/>
        </w:rPr>
        <w:t> </w:t>
      </w:r>
      <w:r>
        <w:rPr/>
        <w:t>Strive</w:t>
      </w:r>
      <w:r>
        <w:rPr>
          <w:spacing w:val="-4"/>
        </w:rPr>
        <w:t> </w:t>
      </w:r>
      <w:r>
        <w:rPr/>
        <w:t>University;</w:t>
      </w:r>
      <w:r>
        <w:rPr>
          <w:spacing w:val="-4"/>
        </w:rPr>
        <w:t> </w:t>
      </w:r>
      <w:r>
        <w:rPr/>
        <w:t>in</w:t>
      </w:r>
      <w:r>
        <w:rPr>
          <w:spacing w:val="-4"/>
        </w:rPr>
        <w:t> </w:t>
      </w:r>
      <w:r>
        <w:rPr/>
        <w:t>total,</w:t>
      </w:r>
      <w:r>
        <w:rPr>
          <w:spacing w:val="-4"/>
        </w:rPr>
        <w:t> </w:t>
      </w:r>
      <w:r>
        <w:rPr/>
        <w:t>25</w:t>
      </w:r>
      <w:r>
        <w:rPr>
          <w:spacing w:val="-4"/>
        </w:rPr>
        <w:t> </w:t>
      </w:r>
      <w:r>
        <w:rPr/>
        <w:t>individuals</w:t>
      </w:r>
      <w:r>
        <w:rPr>
          <w:spacing w:val="-3"/>
        </w:rPr>
        <w:t> </w:t>
      </w:r>
      <w:r>
        <w:rPr/>
        <w:t>participated</w:t>
      </w:r>
      <w:r>
        <w:rPr>
          <w:spacing w:val="-3"/>
        </w:rPr>
        <w:t> </w:t>
      </w:r>
      <w:r>
        <w:rPr/>
        <w:t>in</w:t>
      </w:r>
      <w:r>
        <w:rPr>
          <w:spacing w:val="-3"/>
        </w:rPr>
        <w:t> </w:t>
      </w:r>
      <w:r>
        <w:rPr/>
        <w:t>these four focus groups. Interviews were conducted with five individuals responding to fliers distributed throughout the Cumberland County area.</w:t>
      </w:r>
    </w:p>
    <w:p>
      <w:pPr>
        <w:spacing w:after="0" w:line="480" w:lineRule="auto"/>
        <w:sectPr>
          <w:type w:val="continuous"/>
          <w:pgSz w:w="12240" w:h="15840"/>
          <w:pgMar w:top="1380" w:bottom="280" w:left="1320" w:right="1340"/>
        </w:sectPr>
      </w:pPr>
    </w:p>
    <w:p>
      <w:pPr>
        <w:pStyle w:val="ListParagraph"/>
        <w:numPr>
          <w:ilvl w:val="0"/>
          <w:numId w:val="1"/>
        </w:numPr>
        <w:tabs>
          <w:tab w:pos="494" w:val="left" w:leader="none"/>
        </w:tabs>
        <w:spacing w:line="240" w:lineRule="auto" w:before="76" w:after="0"/>
        <w:ind w:left="493" w:right="0" w:hanging="374"/>
        <w:jc w:val="left"/>
        <w:rPr>
          <w:sz w:val="24"/>
        </w:rPr>
      </w:pPr>
      <w:r>
        <w:rPr>
          <w:sz w:val="24"/>
        </w:rPr>
        <w:t>Strengths</w:t>
      </w:r>
      <w:r>
        <w:rPr>
          <w:spacing w:val="-2"/>
          <w:sz w:val="24"/>
        </w:rPr>
        <w:t> </w:t>
      </w:r>
      <w:r>
        <w:rPr>
          <w:sz w:val="24"/>
        </w:rPr>
        <w:t>and</w:t>
      </w:r>
      <w:r>
        <w:rPr>
          <w:spacing w:val="-2"/>
          <w:sz w:val="24"/>
        </w:rPr>
        <w:t> </w:t>
      </w:r>
      <w:r>
        <w:rPr>
          <w:sz w:val="24"/>
        </w:rPr>
        <w:t>Limitations</w:t>
      </w:r>
      <w:r>
        <w:rPr>
          <w:spacing w:val="-1"/>
          <w:sz w:val="24"/>
        </w:rPr>
        <w:t> </w:t>
      </w:r>
      <w:r>
        <w:rPr>
          <w:sz w:val="24"/>
        </w:rPr>
        <w:t>of</w:t>
      </w:r>
      <w:r>
        <w:rPr>
          <w:spacing w:val="-2"/>
          <w:sz w:val="24"/>
        </w:rPr>
        <w:t> </w:t>
      </w:r>
      <w:r>
        <w:rPr>
          <w:sz w:val="24"/>
        </w:rPr>
        <w:t>Needs</w:t>
      </w:r>
      <w:r>
        <w:rPr>
          <w:spacing w:val="-1"/>
          <w:sz w:val="24"/>
        </w:rPr>
        <w:t> </w:t>
      </w:r>
      <w:r>
        <w:rPr>
          <w:spacing w:val="-2"/>
          <w:sz w:val="24"/>
        </w:rPr>
        <w:t>Assessment</w:t>
      </w:r>
    </w:p>
    <w:p>
      <w:pPr>
        <w:pStyle w:val="BodyText"/>
        <w:rPr>
          <w:sz w:val="26"/>
        </w:rPr>
      </w:pPr>
    </w:p>
    <w:p>
      <w:pPr>
        <w:pStyle w:val="BodyText"/>
        <w:spacing w:before="4"/>
        <w:rPr>
          <w:sz w:val="29"/>
        </w:rPr>
      </w:pPr>
    </w:p>
    <w:p>
      <w:pPr>
        <w:pStyle w:val="BodyText"/>
        <w:spacing w:line="480" w:lineRule="auto"/>
        <w:ind w:left="120" w:right="89"/>
      </w:pPr>
      <w:r>
        <w:rPr/>
        <w:t>A</w:t>
      </w:r>
      <w:r>
        <w:rPr>
          <w:spacing w:val="-3"/>
        </w:rPr>
        <w:t> </w:t>
      </w:r>
      <w:r>
        <w:rPr/>
        <w:t>strength</w:t>
      </w:r>
      <w:r>
        <w:rPr>
          <w:spacing w:val="-3"/>
        </w:rPr>
        <w:t> </w:t>
      </w:r>
      <w:r>
        <w:rPr/>
        <w:t>of</w:t>
      </w:r>
      <w:r>
        <w:rPr>
          <w:spacing w:val="-4"/>
        </w:rPr>
        <w:t> </w:t>
      </w:r>
      <w:r>
        <w:rPr/>
        <w:t>this</w:t>
      </w:r>
      <w:r>
        <w:rPr>
          <w:spacing w:val="-3"/>
        </w:rPr>
        <w:t> </w:t>
      </w:r>
      <w:r>
        <w:rPr/>
        <w:t>needs</w:t>
      </w:r>
      <w:r>
        <w:rPr>
          <w:spacing w:val="-3"/>
        </w:rPr>
        <w:t> </w:t>
      </w:r>
      <w:r>
        <w:rPr/>
        <w:t>assessment</w:t>
      </w:r>
      <w:r>
        <w:rPr>
          <w:spacing w:val="-3"/>
        </w:rPr>
        <w:t> </w:t>
      </w:r>
      <w:r>
        <w:rPr/>
        <w:t>includes</w:t>
      </w:r>
      <w:r>
        <w:rPr>
          <w:spacing w:val="-3"/>
        </w:rPr>
        <w:t> </w:t>
      </w:r>
      <w:r>
        <w:rPr/>
        <w:t>the</w:t>
      </w:r>
      <w:r>
        <w:rPr>
          <w:spacing w:val="-3"/>
        </w:rPr>
        <w:t> </w:t>
      </w:r>
      <w:r>
        <w:rPr/>
        <w:t>partnership</w:t>
      </w:r>
      <w:r>
        <w:rPr>
          <w:spacing w:val="-3"/>
        </w:rPr>
        <w:t> </w:t>
      </w:r>
      <w:r>
        <w:rPr/>
        <w:t>between</w:t>
      </w:r>
      <w:r>
        <w:rPr>
          <w:spacing w:val="-3"/>
        </w:rPr>
        <w:t> </w:t>
      </w:r>
      <w:r>
        <w:rPr/>
        <w:t>the</w:t>
      </w:r>
      <w:r>
        <w:rPr>
          <w:spacing w:val="-4"/>
        </w:rPr>
        <w:t> </w:t>
      </w:r>
      <w:r>
        <w:rPr/>
        <w:t>lead</w:t>
      </w:r>
      <w:r>
        <w:rPr>
          <w:spacing w:val="-3"/>
        </w:rPr>
        <w:t> </w:t>
      </w:r>
      <w:r>
        <w:rPr/>
        <w:t>agency</w:t>
      </w:r>
      <w:r>
        <w:rPr>
          <w:spacing w:val="-3"/>
        </w:rPr>
        <w:t> </w:t>
      </w:r>
      <w:r>
        <w:rPr/>
        <w:t>(FCS)</w:t>
      </w:r>
      <w:r>
        <w:rPr>
          <w:spacing w:val="-3"/>
        </w:rPr>
        <w:t> </w:t>
      </w:r>
      <w:r>
        <w:rPr/>
        <w:t>and the Portland and South Portland Police Departments. The deputy chief of the South Portland Police</w:t>
      </w:r>
      <w:r>
        <w:rPr>
          <w:spacing w:val="-2"/>
        </w:rPr>
        <w:t> </w:t>
      </w:r>
      <w:r>
        <w:rPr/>
        <w:t>Department</w:t>
      </w:r>
      <w:r>
        <w:rPr>
          <w:spacing w:val="-2"/>
        </w:rPr>
        <w:t> </w:t>
      </w:r>
      <w:r>
        <w:rPr/>
        <w:t>and</w:t>
      </w:r>
      <w:r>
        <w:rPr>
          <w:spacing w:val="-2"/>
        </w:rPr>
        <w:t> </w:t>
      </w:r>
      <w:r>
        <w:rPr/>
        <w:t>the</w:t>
      </w:r>
      <w:r>
        <w:rPr>
          <w:spacing w:val="-2"/>
        </w:rPr>
        <w:t> </w:t>
      </w:r>
      <w:r>
        <w:rPr/>
        <w:t>captain</w:t>
      </w:r>
      <w:r>
        <w:rPr>
          <w:spacing w:val="-2"/>
        </w:rPr>
        <w:t> </w:t>
      </w:r>
      <w:r>
        <w:rPr/>
        <w:t>of</w:t>
      </w:r>
      <w:r>
        <w:rPr>
          <w:spacing w:val="-2"/>
        </w:rPr>
        <w:t> </w:t>
      </w:r>
      <w:r>
        <w:rPr/>
        <w:t>patrol</w:t>
      </w:r>
      <w:r>
        <w:rPr>
          <w:spacing w:val="-2"/>
        </w:rPr>
        <w:t> </w:t>
      </w:r>
      <w:r>
        <w:rPr/>
        <w:t>at</w:t>
      </w:r>
      <w:r>
        <w:rPr>
          <w:spacing w:val="-3"/>
        </w:rPr>
        <w:t> </w:t>
      </w:r>
      <w:r>
        <w:rPr/>
        <w:t>the</w:t>
      </w:r>
      <w:r>
        <w:rPr>
          <w:spacing w:val="-2"/>
        </w:rPr>
        <w:t> </w:t>
      </w:r>
      <w:r>
        <w:rPr/>
        <w:t>Portland</w:t>
      </w:r>
      <w:r>
        <w:rPr>
          <w:spacing w:val="-2"/>
        </w:rPr>
        <w:t> </w:t>
      </w:r>
      <w:r>
        <w:rPr/>
        <w:t>Police</w:t>
      </w:r>
      <w:r>
        <w:rPr>
          <w:spacing w:val="-2"/>
        </w:rPr>
        <w:t> </w:t>
      </w:r>
      <w:r>
        <w:rPr/>
        <w:t>Department</w:t>
      </w:r>
      <w:r>
        <w:rPr>
          <w:spacing w:val="-2"/>
        </w:rPr>
        <w:t> </w:t>
      </w:r>
      <w:r>
        <w:rPr/>
        <w:t>worked</w:t>
      </w:r>
      <w:r>
        <w:rPr>
          <w:spacing w:val="-2"/>
        </w:rPr>
        <w:t> </w:t>
      </w:r>
      <w:r>
        <w:rPr/>
        <w:t>to</w:t>
      </w:r>
      <w:r>
        <w:rPr>
          <w:spacing w:val="-2"/>
        </w:rPr>
        <w:t> </w:t>
      </w:r>
      <w:r>
        <w:rPr/>
        <w:t>ensure that surveys were completed during roll-call by the law enforcement officers of these police departments.</w:t>
      </w:r>
      <w:r>
        <w:rPr>
          <w:spacing w:val="-3"/>
        </w:rPr>
        <w:t> </w:t>
      </w:r>
      <w:r>
        <w:rPr/>
        <w:t>Forty-seven</w:t>
      </w:r>
      <w:r>
        <w:rPr>
          <w:spacing w:val="-3"/>
        </w:rPr>
        <w:t> </w:t>
      </w:r>
      <w:r>
        <w:rPr/>
        <w:t>percent</w:t>
      </w:r>
      <w:r>
        <w:rPr>
          <w:spacing w:val="-3"/>
        </w:rPr>
        <w:t> </w:t>
      </w:r>
      <w:r>
        <w:rPr/>
        <w:t>of</w:t>
      </w:r>
      <w:r>
        <w:rPr>
          <w:spacing w:val="-3"/>
        </w:rPr>
        <w:t> </w:t>
      </w:r>
      <w:r>
        <w:rPr/>
        <w:t>the</w:t>
      </w:r>
      <w:r>
        <w:rPr>
          <w:spacing w:val="-3"/>
        </w:rPr>
        <w:t> </w:t>
      </w:r>
      <w:r>
        <w:rPr/>
        <w:t>law</w:t>
      </w:r>
      <w:r>
        <w:rPr>
          <w:spacing w:val="-3"/>
        </w:rPr>
        <w:t> </w:t>
      </w:r>
      <w:r>
        <w:rPr/>
        <w:t>enforcement</w:t>
      </w:r>
      <w:r>
        <w:rPr>
          <w:spacing w:val="-3"/>
        </w:rPr>
        <w:t> </w:t>
      </w:r>
      <w:r>
        <w:rPr/>
        <w:t>officers</w:t>
      </w:r>
      <w:r>
        <w:rPr>
          <w:spacing w:val="-3"/>
        </w:rPr>
        <w:t> </w:t>
      </w:r>
      <w:r>
        <w:rPr/>
        <w:t>responded</w:t>
      </w:r>
      <w:r>
        <w:rPr>
          <w:spacing w:val="-3"/>
        </w:rPr>
        <w:t> </w:t>
      </w:r>
      <w:r>
        <w:rPr/>
        <w:t>to</w:t>
      </w:r>
      <w:r>
        <w:rPr>
          <w:spacing w:val="-3"/>
        </w:rPr>
        <w:t> </w:t>
      </w:r>
      <w:r>
        <w:rPr/>
        <w:t>this</w:t>
      </w:r>
      <w:r>
        <w:rPr>
          <w:spacing w:val="-3"/>
        </w:rPr>
        <w:t> </w:t>
      </w:r>
      <w:r>
        <w:rPr/>
        <w:t>community- based needs assessment through surveys.</w:t>
      </w:r>
    </w:p>
    <w:p>
      <w:pPr>
        <w:pStyle w:val="BodyText"/>
        <w:spacing w:before="4"/>
        <w:rPr>
          <w:sz w:val="31"/>
        </w:rPr>
      </w:pPr>
    </w:p>
    <w:p>
      <w:pPr>
        <w:pStyle w:val="BodyText"/>
        <w:spacing w:line="480" w:lineRule="auto"/>
        <w:ind w:left="119" w:right="256"/>
      </w:pPr>
      <w:r>
        <w:rPr/>
        <w:t>An additional strength exists in the strong relationship forged between FCS and the Maine Center</w:t>
      </w:r>
      <w:r>
        <w:rPr>
          <w:spacing w:val="-3"/>
        </w:rPr>
        <w:t> </w:t>
      </w:r>
      <w:r>
        <w:rPr/>
        <w:t>on</w:t>
      </w:r>
      <w:r>
        <w:rPr>
          <w:spacing w:val="-3"/>
        </w:rPr>
        <w:t> </w:t>
      </w:r>
      <w:r>
        <w:rPr/>
        <w:t>Deafness.</w:t>
      </w:r>
      <w:r>
        <w:rPr>
          <w:spacing w:val="-3"/>
        </w:rPr>
        <w:t> </w:t>
      </w:r>
      <w:r>
        <w:rPr/>
        <w:t>The</w:t>
      </w:r>
      <w:r>
        <w:rPr>
          <w:spacing w:val="-3"/>
        </w:rPr>
        <w:t> </w:t>
      </w:r>
      <w:r>
        <w:rPr/>
        <w:t>center</w:t>
      </w:r>
      <w:r>
        <w:rPr>
          <w:spacing w:val="-3"/>
        </w:rPr>
        <w:t> </w:t>
      </w:r>
      <w:r>
        <w:rPr/>
        <w:t>distributed</w:t>
      </w:r>
      <w:r>
        <w:rPr>
          <w:spacing w:val="-3"/>
        </w:rPr>
        <w:t> </w:t>
      </w:r>
      <w:r>
        <w:rPr/>
        <w:t>surveys</w:t>
      </w:r>
      <w:r>
        <w:rPr>
          <w:spacing w:val="-3"/>
        </w:rPr>
        <w:t> </w:t>
      </w:r>
      <w:r>
        <w:rPr/>
        <w:t>to</w:t>
      </w:r>
      <w:r>
        <w:rPr>
          <w:spacing w:val="-3"/>
        </w:rPr>
        <w:t> </w:t>
      </w:r>
      <w:r>
        <w:rPr/>
        <w:t>its</w:t>
      </w:r>
      <w:r>
        <w:rPr>
          <w:spacing w:val="-3"/>
        </w:rPr>
        <w:t> </w:t>
      </w:r>
      <w:r>
        <w:rPr/>
        <w:t>staff</w:t>
      </w:r>
      <w:r>
        <w:rPr>
          <w:spacing w:val="-3"/>
        </w:rPr>
        <w:t> </w:t>
      </w:r>
      <w:r>
        <w:rPr/>
        <w:t>and</w:t>
      </w:r>
      <w:r>
        <w:rPr>
          <w:spacing w:val="-3"/>
        </w:rPr>
        <w:t> </w:t>
      </w:r>
      <w:r>
        <w:rPr/>
        <w:t>recruited</w:t>
      </w:r>
      <w:r>
        <w:rPr>
          <w:spacing w:val="-3"/>
        </w:rPr>
        <w:t> </w:t>
      </w:r>
      <w:r>
        <w:rPr/>
        <w:t>for</w:t>
      </w:r>
      <w:r>
        <w:rPr>
          <w:spacing w:val="-3"/>
        </w:rPr>
        <w:t> </w:t>
      </w:r>
      <w:r>
        <w:rPr/>
        <w:t>and</w:t>
      </w:r>
      <w:r>
        <w:rPr>
          <w:spacing w:val="-3"/>
        </w:rPr>
        <w:t> </w:t>
      </w:r>
      <w:r>
        <w:rPr/>
        <w:t>hosted</w:t>
      </w:r>
      <w:r>
        <w:rPr>
          <w:spacing w:val="-3"/>
        </w:rPr>
        <w:t> </w:t>
      </w:r>
      <w:r>
        <w:rPr/>
        <w:t>two focus groups. Another significant strength exists between FCS and Strive University, which recruited for and hosted two additional focus groups in addition to distributing surveys to its staff. An additional strength occurs in the lead agency’s staff response to the survey—a 67- percent return rate for the survey.</w:t>
      </w:r>
    </w:p>
    <w:p>
      <w:pPr>
        <w:pStyle w:val="BodyText"/>
        <w:spacing w:before="2"/>
        <w:rPr>
          <w:sz w:val="31"/>
        </w:rPr>
      </w:pPr>
    </w:p>
    <w:p>
      <w:pPr>
        <w:pStyle w:val="BodyText"/>
        <w:spacing w:line="480" w:lineRule="auto"/>
        <w:ind w:left="120"/>
      </w:pPr>
      <w:r>
        <w:rPr/>
        <w:t>Limitations</w:t>
      </w:r>
      <w:r>
        <w:rPr>
          <w:spacing w:val="-4"/>
        </w:rPr>
        <w:t> </w:t>
      </w:r>
      <w:r>
        <w:rPr/>
        <w:t>of</w:t>
      </w:r>
      <w:r>
        <w:rPr>
          <w:spacing w:val="-4"/>
        </w:rPr>
        <w:t> </w:t>
      </w:r>
      <w:r>
        <w:rPr/>
        <w:t>these</w:t>
      </w:r>
      <w:r>
        <w:rPr>
          <w:spacing w:val="-4"/>
        </w:rPr>
        <w:t> </w:t>
      </w:r>
      <w:r>
        <w:rPr/>
        <w:t>activities</w:t>
      </w:r>
      <w:r>
        <w:rPr>
          <w:spacing w:val="-4"/>
        </w:rPr>
        <w:t> </w:t>
      </w:r>
      <w:r>
        <w:rPr/>
        <w:t>include</w:t>
      </w:r>
      <w:r>
        <w:rPr>
          <w:spacing w:val="-4"/>
        </w:rPr>
        <w:t> </w:t>
      </w:r>
      <w:r>
        <w:rPr/>
        <w:t>the</w:t>
      </w:r>
      <w:r>
        <w:rPr>
          <w:spacing w:val="-4"/>
        </w:rPr>
        <w:t> </w:t>
      </w:r>
      <w:r>
        <w:rPr/>
        <w:t>poor</w:t>
      </w:r>
      <w:r>
        <w:rPr>
          <w:spacing w:val="-4"/>
        </w:rPr>
        <w:t> </w:t>
      </w:r>
      <w:r>
        <w:rPr/>
        <w:t>survey</w:t>
      </w:r>
      <w:r>
        <w:rPr>
          <w:spacing w:val="-3"/>
        </w:rPr>
        <w:t> </w:t>
      </w:r>
      <w:r>
        <w:rPr/>
        <w:t>response</w:t>
      </w:r>
      <w:r>
        <w:rPr>
          <w:spacing w:val="-3"/>
        </w:rPr>
        <w:t> </w:t>
      </w:r>
      <w:r>
        <w:rPr/>
        <w:t>from</w:t>
      </w:r>
      <w:r>
        <w:rPr>
          <w:spacing w:val="-5"/>
        </w:rPr>
        <w:t> </w:t>
      </w:r>
      <w:r>
        <w:rPr/>
        <w:t>many</w:t>
      </w:r>
      <w:r>
        <w:rPr>
          <w:spacing w:val="-3"/>
        </w:rPr>
        <w:t> </w:t>
      </w:r>
      <w:r>
        <w:rPr/>
        <w:t>service</w:t>
      </w:r>
      <w:r>
        <w:rPr>
          <w:spacing w:val="-3"/>
        </w:rPr>
        <w:t> </w:t>
      </w:r>
      <w:r>
        <w:rPr/>
        <w:t>providers, including disability service providers and victim service providers in Cumberland County.</w:t>
      </w:r>
    </w:p>
    <w:p>
      <w:pPr>
        <w:pStyle w:val="BodyText"/>
        <w:spacing w:line="480" w:lineRule="auto" w:before="1"/>
        <w:ind w:left="120"/>
      </w:pPr>
      <w:r>
        <w:rPr/>
        <w:t>Additionally,</w:t>
      </w:r>
      <w:r>
        <w:rPr>
          <w:spacing w:val="-3"/>
        </w:rPr>
        <w:t> </w:t>
      </w:r>
      <w:r>
        <w:rPr/>
        <w:t>the</w:t>
      </w:r>
      <w:r>
        <w:rPr>
          <w:spacing w:val="-3"/>
        </w:rPr>
        <w:t> </w:t>
      </w:r>
      <w:r>
        <w:rPr/>
        <w:t>lead</w:t>
      </w:r>
      <w:r>
        <w:rPr>
          <w:spacing w:val="-3"/>
        </w:rPr>
        <w:t> </w:t>
      </w:r>
      <w:r>
        <w:rPr/>
        <w:t>agency</w:t>
      </w:r>
      <w:r>
        <w:rPr>
          <w:spacing w:val="-3"/>
        </w:rPr>
        <w:t> </w:t>
      </w:r>
      <w:r>
        <w:rPr/>
        <w:t>had</w:t>
      </w:r>
      <w:r>
        <w:rPr>
          <w:spacing w:val="-3"/>
        </w:rPr>
        <w:t> </w:t>
      </w:r>
      <w:r>
        <w:rPr/>
        <w:t>a</w:t>
      </w:r>
      <w:r>
        <w:rPr>
          <w:spacing w:val="-3"/>
        </w:rPr>
        <w:t> </w:t>
      </w:r>
      <w:r>
        <w:rPr/>
        <w:t>difficult</w:t>
      </w:r>
      <w:r>
        <w:rPr>
          <w:spacing w:val="-3"/>
        </w:rPr>
        <w:t> </w:t>
      </w:r>
      <w:r>
        <w:rPr/>
        <w:t>time</w:t>
      </w:r>
      <w:r>
        <w:rPr>
          <w:spacing w:val="-3"/>
        </w:rPr>
        <w:t> </w:t>
      </w:r>
      <w:r>
        <w:rPr/>
        <w:t>recruiting</w:t>
      </w:r>
      <w:r>
        <w:rPr>
          <w:spacing w:val="-3"/>
        </w:rPr>
        <w:t> </w:t>
      </w:r>
      <w:r>
        <w:rPr/>
        <w:t>community</w:t>
      </w:r>
      <w:r>
        <w:rPr>
          <w:spacing w:val="-4"/>
        </w:rPr>
        <w:t> </w:t>
      </w:r>
      <w:r>
        <w:rPr/>
        <w:t>members</w:t>
      </w:r>
      <w:r>
        <w:rPr>
          <w:spacing w:val="-3"/>
        </w:rPr>
        <w:t> </w:t>
      </w:r>
      <w:r>
        <w:rPr/>
        <w:t>for</w:t>
      </w:r>
      <w:r>
        <w:rPr>
          <w:spacing w:val="-3"/>
        </w:rPr>
        <w:t> </w:t>
      </w:r>
      <w:r>
        <w:rPr/>
        <w:t>individual interviews and focus groups.</w:t>
      </w:r>
    </w:p>
    <w:p>
      <w:pPr>
        <w:pStyle w:val="BodyText"/>
        <w:spacing w:before="3"/>
        <w:rPr>
          <w:sz w:val="31"/>
        </w:rPr>
      </w:pPr>
    </w:p>
    <w:p>
      <w:pPr>
        <w:pStyle w:val="ListParagraph"/>
        <w:numPr>
          <w:ilvl w:val="0"/>
          <w:numId w:val="1"/>
        </w:numPr>
        <w:tabs>
          <w:tab w:pos="414" w:val="left" w:leader="none"/>
        </w:tabs>
        <w:spacing w:line="240" w:lineRule="auto" w:before="0" w:after="0"/>
        <w:ind w:left="413" w:right="0" w:hanging="294"/>
        <w:jc w:val="left"/>
        <w:rPr>
          <w:sz w:val="24"/>
        </w:rPr>
      </w:pPr>
      <w:r>
        <w:rPr>
          <w:sz w:val="24"/>
        </w:rPr>
        <w:t>Key</w:t>
      </w:r>
      <w:r>
        <w:rPr>
          <w:spacing w:val="-7"/>
          <w:sz w:val="24"/>
        </w:rPr>
        <w:t> </w:t>
      </w:r>
      <w:r>
        <w:rPr>
          <w:spacing w:val="-2"/>
          <w:sz w:val="24"/>
        </w:rPr>
        <w:t>Findings</w:t>
      </w:r>
    </w:p>
    <w:p>
      <w:pPr>
        <w:pStyle w:val="BodyText"/>
        <w:rPr>
          <w:sz w:val="26"/>
        </w:rPr>
      </w:pPr>
    </w:p>
    <w:p>
      <w:pPr>
        <w:pStyle w:val="BodyText"/>
        <w:spacing w:before="4"/>
        <w:rPr>
          <w:sz w:val="29"/>
        </w:rPr>
      </w:pPr>
    </w:p>
    <w:p>
      <w:pPr>
        <w:pStyle w:val="BodyText"/>
        <w:spacing w:line="480" w:lineRule="auto"/>
        <w:ind w:left="120"/>
      </w:pPr>
      <w:r>
        <w:rPr/>
        <w:t>Persons with disabilities face myriad obstacles in regard to reaching out for help. Self- identification</w:t>
      </w:r>
      <w:r>
        <w:rPr>
          <w:spacing w:val="-4"/>
        </w:rPr>
        <w:t> </w:t>
      </w:r>
      <w:r>
        <w:rPr/>
        <w:t>and</w:t>
      </w:r>
      <w:r>
        <w:rPr>
          <w:spacing w:val="-4"/>
        </w:rPr>
        <w:t> </w:t>
      </w:r>
      <w:r>
        <w:rPr/>
        <w:t>trusting</w:t>
      </w:r>
      <w:r>
        <w:rPr>
          <w:spacing w:val="-4"/>
        </w:rPr>
        <w:t> </w:t>
      </w:r>
      <w:r>
        <w:rPr/>
        <w:t>“outsiders”</w:t>
      </w:r>
      <w:r>
        <w:rPr>
          <w:spacing w:val="-5"/>
        </w:rPr>
        <w:t> </w:t>
      </w:r>
      <w:r>
        <w:rPr/>
        <w:t>were</w:t>
      </w:r>
      <w:r>
        <w:rPr>
          <w:spacing w:val="-5"/>
        </w:rPr>
        <w:t> </w:t>
      </w:r>
      <w:r>
        <w:rPr/>
        <w:t>reported</w:t>
      </w:r>
      <w:r>
        <w:rPr>
          <w:spacing w:val="-5"/>
        </w:rPr>
        <w:t> </w:t>
      </w:r>
      <w:r>
        <w:rPr/>
        <w:t>throughout</w:t>
      </w:r>
      <w:r>
        <w:rPr>
          <w:spacing w:val="-5"/>
        </w:rPr>
        <w:t> </w:t>
      </w:r>
      <w:r>
        <w:rPr/>
        <w:t>the</w:t>
      </w:r>
      <w:r>
        <w:rPr>
          <w:spacing w:val="-4"/>
        </w:rPr>
        <w:t> </w:t>
      </w:r>
      <w:r>
        <w:rPr/>
        <w:t>groups,</w:t>
      </w:r>
      <w:r>
        <w:rPr>
          <w:spacing w:val="-5"/>
        </w:rPr>
        <w:t> </w:t>
      </w:r>
      <w:r>
        <w:rPr/>
        <w:t>interviews,</w:t>
      </w:r>
      <w:r>
        <w:rPr>
          <w:spacing w:val="-4"/>
        </w:rPr>
        <w:t> </w:t>
      </w:r>
      <w:r>
        <w:rPr/>
        <w:t>and</w:t>
      </w:r>
    </w:p>
    <w:p>
      <w:pPr>
        <w:spacing w:after="0" w:line="480" w:lineRule="auto"/>
        <w:sectPr>
          <w:pgSz w:w="12240" w:h="15840"/>
          <w:pgMar w:top="1360" w:bottom="280" w:left="1320" w:right="1340"/>
        </w:sectPr>
      </w:pPr>
    </w:p>
    <w:p>
      <w:pPr>
        <w:pStyle w:val="BodyText"/>
        <w:spacing w:line="480" w:lineRule="auto" w:before="76"/>
        <w:ind w:left="120" w:right="89"/>
      </w:pPr>
      <w:r>
        <w:rPr/>
        <w:t>surveys. Persons with disabilities are a largely underserved population that either does not identify</w:t>
      </w:r>
      <w:r>
        <w:rPr>
          <w:spacing w:val="-2"/>
        </w:rPr>
        <w:t> </w:t>
      </w:r>
      <w:r>
        <w:rPr/>
        <w:t>domestic</w:t>
      </w:r>
      <w:r>
        <w:rPr>
          <w:spacing w:val="-2"/>
        </w:rPr>
        <w:t> </w:t>
      </w:r>
      <w:r>
        <w:rPr/>
        <w:t>violence</w:t>
      </w:r>
      <w:r>
        <w:rPr>
          <w:spacing w:val="-2"/>
        </w:rPr>
        <w:t> </w:t>
      </w:r>
      <w:r>
        <w:rPr/>
        <w:t>or</w:t>
      </w:r>
      <w:r>
        <w:rPr>
          <w:spacing w:val="-2"/>
        </w:rPr>
        <w:t> </w:t>
      </w:r>
      <w:r>
        <w:rPr/>
        <w:t>sexual</w:t>
      </w:r>
      <w:r>
        <w:rPr>
          <w:spacing w:val="-2"/>
        </w:rPr>
        <w:t> </w:t>
      </w:r>
      <w:r>
        <w:rPr/>
        <w:t>assault</w:t>
      </w:r>
      <w:r>
        <w:rPr>
          <w:spacing w:val="-2"/>
        </w:rPr>
        <w:t> </w:t>
      </w:r>
      <w:r>
        <w:rPr/>
        <w:t>as</w:t>
      </w:r>
      <w:r>
        <w:rPr>
          <w:spacing w:val="-2"/>
        </w:rPr>
        <w:t> </w:t>
      </w:r>
      <w:r>
        <w:rPr/>
        <w:t>a</w:t>
      </w:r>
      <w:r>
        <w:rPr>
          <w:spacing w:val="-3"/>
        </w:rPr>
        <w:t> </w:t>
      </w:r>
      <w:r>
        <w:rPr/>
        <w:t>crime</w:t>
      </w:r>
      <w:r>
        <w:rPr>
          <w:spacing w:val="-3"/>
        </w:rPr>
        <w:t> </w:t>
      </w:r>
      <w:r>
        <w:rPr/>
        <w:t>and/or</w:t>
      </w:r>
      <w:r>
        <w:rPr>
          <w:spacing w:val="-3"/>
        </w:rPr>
        <w:t> </w:t>
      </w:r>
      <w:r>
        <w:rPr/>
        <w:t>are</w:t>
      </w:r>
      <w:r>
        <w:rPr>
          <w:spacing w:val="-3"/>
        </w:rPr>
        <w:t> </w:t>
      </w:r>
      <w:r>
        <w:rPr/>
        <w:t>largely</w:t>
      </w:r>
      <w:r>
        <w:rPr>
          <w:spacing w:val="-3"/>
        </w:rPr>
        <w:t> </w:t>
      </w:r>
      <w:r>
        <w:rPr/>
        <w:t>unaware</w:t>
      </w:r>
      <w:r>
        <w:rPr>
          <w:spacing w:val="-3"/>
        </w:rPr>
        <w:t> </w:t>
      </w:r>
      <w:r>
        <w:rPr/>
        <w:t>of</w:t>
      </w:r>
      <w:r>
        <w:rPr>
          <w:spacing w:val="-3"/>
        </w:rPr>
        <w:t> </w:t>
      </w:r>
      <w:r>
        <w:rPr/>
        <w:t>the</w:t>
      </w:r>
      <w:r>
        <w:rPr>
          <w:spacing w:val="-3"/>
        </w:rPr>
        <w:t> </w:t>
      </w:r>
      <w:r>
        <w:rPr/>
        <w:t>services and resources available. Education and training were stated as a need to learn about domestic violence and sexual assault as a crime and to be made aware of available community resources. Many reported not knowing the telephone numbers to call for help beyond calling the police.</w:t>
      </w:r>
    </w:p>
    <w:p>
      <w:pPr>
        <w:pStyle w:val="BodyText"/>
        <w:spacing w:line="480" w:lineRule="auto" w:before="1"/>
        <w:ind w:left="120" w:right="133"/>
      </w:pPr>
      <w:r>
        <w:rPr/>
        <w:t>Suggestions</w:t>
      </w:r>
      <w:r>
        <w:rPr>
          <w:spacing w:val="-4"/>
        </w:rPr>
        <w:t> </w:t>
      </w:r>
      <w:r>
        <w:rPr/>
        <w:t>for</w:t>
      </w:r>
      <w:r>
        <w:rPr>
          <w:spacing w:val="-4"/>
        </w:rPr>
        <w:t> </w:t>
      </w:r>
      <w:r>
        <w:rPr/>
        <w:t>services</w:t>
      </w:r>
      <w:r>
        <w:rPr>
          <w:spacing w:val="-4"/>
        </w:rPr>
        <w:t> </w:t>
      </w:r>
      <w:r>
        <w:rPr/>
        <w:t>to</w:t>
      </w:r>
      <w:r>
        <w:rPr>
          <w:spacing w:val="-4"/>
        </w:rPr>
        <w:t> </w:t>
      </w:r>
      <w:r>
        <w:rPr/>
        <w:t>be</w:t>
      </w:r>
      <w:r>
        <w:rPr>
          <w:spacing w:val="-4"/>
        </w:rPr>
        <w:t> </w:t>
      </w:r>
      <w:r>
        <w:rPr/>
        <w:t>more</w:t>
      </w:r>
      <w:r>
        <w:rPr>
          <w:spacing w:val="-4"/>
        </w:rPr>
        <w:t> </w:t>
      </w:r>
      <w:r>
        <w:rPr/>
        <w:t>welcoming</w:t>
      </w:r>
      <w:r>
        <w:rPr>
          <w:spacing w:val="-4"/>
        </w:rPr>
        <w:t> </w:t>
      </w:r>
      <w:r>
        <w:rPr/>
        <w:t>to</w:t>
      </w:r>
      <w:r>
        <w:rPr>
          <w:spacing w:val="-2"/>
        </w:rPr>
        <w:t> </w:t>
      </w:r>
      <w:r>
        <w:rPr/>
        <w:t>persons</w:t>
      </w:r>
      <w:r>
        <w:rPr>
          <w:spacing w:val="-3"/>
        </w:rPr>
        <w:t> </w:t>
      </w:r>
      <w:r>
        <w:rPr/>
        <w:t>with</w:t>
      </w:r>
      <w:r>
        <w:rPr>
          <w:spacing w:val="-3"/>
        </w:rPr>
        <w:t> </w:t>
      </w:r>
      <w:r>
        <w:rPr/>
        <w:t>disabilities</w:t>
      </w:r>
      <w:r>
        <w:rPr>
          <w:spacing w:val="-3"/>
        </w:rPr>
        <w:t> </w:t>
      </w:r>
      <w:r>
        <w:rPr/>
        <w:t>include</w:t>
      </w:r>
      <w:r>
        <w:rPr>
          <w:spacing w:val="-3"/>
        </w:rPr>
        <w:t> </w:t>
      </w:r>
      <w:r>
        <w:rPr/>
        <w:t>the</w:t>
      </w:r>
      <w:r>
        <w:rPr>
          <w:spacing w:val="-3"/>
        </w:rPr>
        <w:t> </w:t>
      </w:r>
      <w:r>
        <w:rPr/>
        <w:t>following: placing videophones at various locations, including shelters and police departments; using a</w:t>
      </w:r>
      <w:r>
        <w:rPr>
          <w:spacing w:val="40"/>
        </w:rPr>
        <w:t> </w:t>
      </w:r>
      <w:r>
        <w:rPr/>
        <w:t>relay service; making computers available in shelters that can be adapted for low-vision users; and producing brochures that include pictures of persons with disabilities and distributing them</w:t>
      </w:r>
      <w:r>
        <w:rPr>
          <w:spacing w:val="40"/>
        </w:rPr>
        <w:t> </w:t>
      </w:r>
      <w:r>
        <w:rPr/>
        <w:t>to various disability service providers where they would be accessible.</w:t>
      </w:r>
    </w:p>
    <w:p>
      <w:pPr>
        <w:pStyle w:val="BodyText"/>
        <w:spacing w:before="3"/>
        <w:rPr>
          <w:sz w:val="31"/>
        </w:rPr>
      </w:pPr>
    </w:p>
    <w:p>
      <w:pPr>
        <w:pStyle w:val="BodyText"/>
        <w:spacing w:line="480" w:lineRule="auto"/>
        <w:ind w:left="120" w:right="117"/>
      </w:pPr>
      <w:r>
        <w:rPr/>
        <w:t>Poor experiences with service providers, shelters (including the FCS shelter), and law enforcement were on par with fear of not knowing what to expect when involving systems. The vast</w:t>
      </w:r>
      <w:r>
        <w:rPr>
          <w:spacing w:val="-2"/>
        </w:rPr>
        <w:t> </w:t>
      </w:r>
      <w:r>
        <w:rPr/>
        <w:t>majority</w:t>
      </w:r>
      <w:r>
        <w:rPr>
          <w:spacing w:val="-2"/>
        </w:rPr>
        <w:t> </w:t>
      </w:r>
      <w:r>
        <w:rPr/>
        <w:t>report</w:t>
      </w:r>
      <w:r>
        <w:rPr>
          <w:spacing w:val="-2"/>
        </w:rPr>
        <w:t> </w:t>
      </w:r>
      <w:r>
        <w:rPr/>
        <w:t>the</w:t>
      </w:r>
      <w:r>
        <w:rPr>
          <w:spacing w:val="-2"/>
        </w:rPr>
        <w:t> </w:t>
      </w:r>
      <w:r>
        <w:rPr/>
        <w:t>importance</w:t>
      </w:r>
      <w:r>
        <w:rPr>
          <w:spacing w:val="-2"/>
        </w:rPr>
        <w:t> </w:t>
      </w:r>
      <w:r>
        <w:rPr/>
        <w:t>of</w:t>
      </w:r>
      <w:r>
        <w:rPr>
          <w:spacing w:val="-2"/>
        </w:rPr>
        <w:t> </w:t>
      </w:r>
      <w:r>
        <w:rPr/>
        <w:t>privacy</w:t>
      </w:r>
      <w:r>
        <w:rPr>
          <w:spacing w:val="-2"/>
        </w:rPr>
        <w:t> </w:t>
      </w:r>
      <w:r>
        <w:rPr/>
        <w:t>and</w:t>
      </w:r>
      <w:r>
        <w:rPr>
          <w:spacing w:val="-2"/>
        </w:rPr>
        <w:t> </w:t>
      </w:r>
      <w:r>
        <w:rPr/>
        <w:t>confidentiality.</w:t>
      </w:r>
      <w:r>
        <w:rPr>
          <w:spacing w:val="-1"/>
        </w:rPr>
        <w:t> </w:t>
      </w:r>
      <w:r>
        <w:rPr/>
        <w:t>Many</w:t>
      </w:r>
      <w:r>
        <w:rPr>
          <w:spacing w:val="-1"/>
        </w:rPr>
        <w:t> </w:t>
      </w:r>
      <w:r>
        <w:rPr/>
        <w:t>participants</w:t>
      </w:r>
      <w:r>
        <w:rPr>
          <w:spacing w:val="-3"/>
        </w:rPr>
        <w:t> </w:t>
      </w:r>
      <w:r>
        <w:rPr/>
        <w:t>believe</w:t>
      </w:r>
      <w:r>
        <w:rPr>
          <w:spacing w:val="-1"/>
        </w:rPr>
        <w:t> </w:t>
      </w:r>
      <w:r>
        <w:rPr/>
        <w:t>that family</w:t>
      </w:r>
      <w:r>
        <w:rPr>
          <w:spacing w:val="-3"/>
        </w:rPr>
        <w:t> </w:t>
      </w:r>
      <w:r>
        <w:rPr/>
        <w:t>or</w:t>
      </w:r>
      <w:r>
        <w:rPr>
          <w:spacing w:val="-3"/>
        </w:rPr>
        <w:t> </w:t>
      </w:r>
      <w:r>
        <w:rPr/>
        <w:t>friends</w:t>
      </w:r>
      <w:r>
        <w:rPr>
          <w:spacing w:val="-3"/>
        </w:rPr>
        <w:t> </w:t>
      </w:r>
      <w:r>
        <w:rPr/>
        <w:t>would</w:t>
      </w:r>
      <w:r>
        <w:rPr>
          <w:spacing w:val="-3"/>
        </w:rPr>
        <w:t> </w:t>
      </w:r>
      <w:r>
        <w:rPr/>
        <w:t>be</w:t>
      </w:r>
      <w:r>
        <w:rPr>
          <w:spacing w:val="-3"/>
        </w:rPr>
        <w:t> </w:t>
      </w:r>
      <w:r>
        <w:rPr/>
        <w:t>contacted</w:t>
      </w:r>
      <w:r>
        <w:rPr>
          <w:spacing w:val="-3"/>
        </w:rPr>
        <w:t> </w:t>
      </w:r>
      <w:r>
        <w:rPr/>
        <w:t>without</w:t>
      </w:r>
      <w:r>
        <w:rPr>
          <w:spacing w:val="-3"/>
        </w:rPr>
        <w:t> </w:t>
      </w:r>
      <w:r>
        <w:rPr/>
        <w:t>the</w:t>
      </w:r>
      <w:r>
        <w:rPr>
          <w:spacing w:val="-4"/>
        </w:rPr>
        <w:t> </w:t>
      </w:r>
      <w:r>
        <w:rPr/>
        <w:t>victim’s</w:t>
      </w:r>
      <w:r>
        <w:rPr>
          <w:spacing w:val="-4"/>
        </w:rPr>
        <w:t> </w:t>
      </w:r>
      <w:r>
        <w:rPr/>
        <w:t>permission;</w:t>
      </w:r>
      <w:r>
        <w:rPr>
          <w:spacing w:val="-4"/>
        </w:rPr>
        <w:t> </w:t>
      </w:r>
      <w:r>
        <w:rPr/>
        <w:t>and</w:t>
      </w:r>
      <w:r>
        <w:rPr>
          <w:spacing w:val="-4"/>
        </w:rPr>
        <w:t> </w:t>
      </w:r>
      <w:r>
        <w:rPr/>
        <w:t>not</w:t>
      </w:r>
      <w:r>
        <w:rPr>
          <w:spacing w:val="-4"/>
        </w:rPr>
        <w:t> </w:t>
      </w:r>
      <w:r>
        <w:rPr/>
        <w:t>having</w:t>
      </w:r>
      <w:r>
        <w:rPr>
          <w:spacing w:val="-4"/>
        </w:rPr>
        <w:t> </w:t>
      </w:r>
      <w:r>
        <w:rPr/>
        <w:t>any</w:t>
      </w:r>
      <w:r>
        <w:rPr>
          <w:spacing w:val="-4"/>
        </w:rPr>
        <w:t> </w:t>
      </w:r>
      <w:r>
        <w:rPr/>
        <w:t>control over the process was widely acknowledged as a significant concern. A shared experience of being condescended to was reported with a strong expectation of respect as an important aspect toward building the trust necessary to increase the reporting of crimes or contacting outside agencies for help. All focus group participants report lack of understanding by both service providers and law enforcement about persons with disabilities and urged education on the topic. Repeated suggestions were made to include a person with a visible disability as part of the </w:t>
      </w:r>
      <w:r>
        <w:rPr>
          <w:spacing w:val="-2"/>
        </w:rPr>
        <w:t>training.</w:t>
      </w:r>
    </w:p>
    <w:p>
      <w:pPr>
        <w:spacing w:after="0" w:line="480" w:lineRule="auto"/>
        <w:sectPr>
          <w:pgSz w:w="12240" w:h="15840"/>
          <w:pgMar w:top="1360" w:bottom="280" w:left="1320" w:right="1340"/>
        </w:sectPr>
      </w:pPr>
    </w:p>
    <w:p>
      <w:pPr>
        <w:pStyle w:val="BodyText"/>
        <w:spacing w:line="480" w:lineRule="auto" w:before="76"/>
        <w:ind w:left="120" w:right="89"/>
      </w:pPr>
      <w:r>
        <w:rPr/>
        <w:t>Both</w:t>
      </w:r>
      <w:r>
        <w:rPr>
          <w:spacing w:val="-3"/>
        </w:rPr>
        <w:t> </w:t>
      </w:r>
      <w:r>
        <w:rPr/>
        <w:t>consumers</w:t>
      </w:r>
      <w:r>
        <w:rPr>
          <w:spacing w:val="-3"/>
        </w:rPr>
        <w:t> </w:t>
      </w:r>
      <w:r>
        <w:rPr/>
        <w:t>and</w:t>
      </w:r>
      <w:r>
        <w:rPr>
          <w:spacing w:val="-3"/>
        </w:rPr>
        <w:t> </w:t>
      </w:r>
      <w:r>
        <w:rPr/>
        <w:t>service</w:t>
      </w:r>
      <w:r>
        <w:rPr>
          <w:spacing w:val="-3"/>
        </w:rPr>
        <w:t> </w:t>
      </w:r>
      <w:r>
        <w:rPr/>
        <w:t>providers</w:t>
      </w:r>
      <w:r>
        <w:rPr>
          <w:spacing w:val="-3"/>
        </w:rPr>
        <w:t> </w:t>
      </w:r>
      <w:r>
        <w:rPr/>
        <w:t>shortlisted</w:t>
      </w:r>
      <w:r>
        <w:rPr>
          <w:spacing w:val="-3"/>
        </w:rPr>
        <w:t> </w:t>
      </w:r>
      <w:r>
        <w:rPr/>
        <w:t>education</w:t>
      </w:r>
      <w:r>
        <w:rPr>
          <w:spacing w:val="-4"/>
        </w:rPr>
        <w:t> </w:t>
      </w:r>
      <w:r>
        <w:rPr/>
        <w:t>and</w:t>
      </w:r>
      <w:r>
        <w:rPr>
          <w:spacing w:val="-4"/>
        </w:rPr>
        <w:t> </w:t>
      </w:r>
      <w:r>
        <w:rPr/>
        <w:t>training</w:t>
      </w:r>
      <w:r>
        <w:rPr>
          <w:spacing w:val="-5"/>
        </w:rPr>
        <w:t> </w:t>
      </w:r>
      <w:r>
        <w:rPr/>
        <w:t>as</w:t>
      </w:r>
      <w:r>
        <w:rPr>
          <w:spacing w:val="-4"/>
        </w:rPr>
        <w:t> </w:t>
      </w:r>
      <w:r>
        <w:rPr/>
        <w:t>core</w:t>
      </w:r>
      <w:r>
        <w:rPr>
          <w:spacing w:val="-4"/>
        </w:rPr>
        <w:t> </w:t>
      </w:r>
      <w:r>
        <w:rPr/>
        <w:t>components</w:t>
      </w:r>
      <w:r>
        <w:rPr>
          <w:spacing w:val="-4"/>
        </w:rPr>
        <w:t> </w:t>
      </w:r>
      <w:r>
        <w:rPr/>
        <w:t>of enhanced reporting and increased visibility and access to the services available. Both groups report that reciprocal training is necessary; persons with disabilities need training as do service providers and law enforcement. Sixty-five percent of law enforcement from both departments surveyed</w:t>
      </w:r>
      <w:r>
        <w:rPr>
          <w:spacing w:val="-1"/>
        </w:rPr>
        <w:t> </w:t>
      </w:r>
      <w:r>
        <w:rPr/>
        <w:t>and</w:t>
      </w:r>
      <w:r>
        <w:rPr>
          <w:spacing w:val="-1"/>
        </w:rPr>
        <w:t> </w:t>
      </w:r>
      <w:r>
        <w:rPr/>
        <w:t>69</w:t>
      </w:r>
      <w:r>
        <w:rPr>
          <w:spacing w:val="-1"/>
        </w:rPr>
        <w:t> </w:t>
      </w:r>
      <w:r>
        <w:rPr/>
        <w:t>percent</w:t>
      </w:r>
      <w:r>
        <w:rPr>
          <w:spacing w:val="-1"/>
        </w:rPr>
        <w:t> </w:t>
      </w:r>
      <w:r>
        <w:rPr/>
        <w:t>of</w:t>
      </w:r>
      <w:r>
        <w:rPr>
          <w:spacing w:val="-1"/>
        </w:rPr>
        <w:t> </w:t>
      </w:r>
      <w:r>
        <w:rPr/>
        <w:t>all</w:t>
      </w:r>
      <w:r>
        <w:rPr>
          <w:spacing w:val="-1"/>
        </w:rPr>
        <w:t> </w:t>
      </w:r>
      <w:r>
        <w:rPr/>
        <w:t>service</w:t>
      </w:r>
      <w:r>
        <w:rPr>
          <w:spacing w:val="-1"/>
        </w:rPr>
        <w:t> </w:t>
      </w:r>
      <w:r>
        <w:rPr/>
        <w:t>providers</w:t>
      </w:r>
      <w:r>
        <w:rPr>
          <w:spacing w:val="-1"/>
        </w:rPr>
        <w:t> </w:t>
      </w:r>
      <w:r>
        <w:rPr/>
        <w:t>surveyed</w:t>
      </w:r>
      <w:r>
        <w:rPr>
          <w:spacing w:val="-1"/>
        </w:rPr>
        <w:t> </w:t>
      </w:r>
      <w:r>
        <w:rPr/>
        <w:t>reported</w:t>
      </w:r>
      <w:r>
        <w:rPr>
          <w:spacing w:val="-2"/>
        </w:rPr>
        <w:t> </w:t>
      </w:r>
      <w:r>
        <w:rPr/>
        <w:t>the</w:t>
      </w:r>
      <w:r>
        <w:rPr>
          <w:spacing w:val="-2"/>
        </w:rPr>
        <w:t> </w:t>
      </w:r>
      <w:r>
        <w:rPr/>
        <w:t>need</w:t>
      </w:r>
      <w:r>
        <w:rPr>
          <w:spacing w:val="-2"/>
        </w:rPr>
        <w:t> </w:t>
      </w:r>
      <w:r>
        <w:rPr/>
        <w:t>for</w:t>
      </w:r>
      <w:r>
        <w:rPr>
          <w:spacing w:val="-2"/>
        </w:rPr>
        <w:t> </w:t>
      </w:r>
      <w:r>
        <w:rPr/>
        <w:t>further</w:t>
      </w:r>
      <w:r>
        <w:rPr>
          <w:spacing w:val="-2"/>
        </w:rPr>
        <w:t> </w:t>
      </w:r>
      <w:r>
        <w:rPr/>
        <w:t>training and education and for increased promotion of community resources.</w:t>
      </w:r>
    </w:p>
    <w:p>
      <w:pPr>
        <w:pStyle w:val="BodyText"/>
        <w:spacing w:before="4"/>
        <w:rPr>
          <w:sz w:val="31"/>
        </w:rPr>
      </w:pPr>
    </w:p>
    <w:p>
      <w:pPr>
        <w:pStyle w:val="ListParagraph"/>
        <w:numPr>
          <w:ilvl w:val="0"/>
          <w:numId w:val="1"/>
        </w:numPr>
        <w:tabs>
          <w:tab w:pos="554" w:val="left" w:leader="none"/>
        </w:tabs>
        <w:spacing w:line="240" w:lineRule="auto" w:before="0" w:after="0"/>
        <w:ind w:left="553" w:right="0" w:hanging="374"/>
        <w:jc w:val="left"/>
        <w:rPr>
          <w:sz w:val="24"/>
        </w:rPr>
      </w:pPr>
      <w:r>
        <w:rPr>
          <w:spacing w:val="-2"/>
          <w:sz w:val="24"/>
        </w:rPr>
        <w:t>Recommendations</w:t>
      </w:r>
    </w:p>
    <w:p>
      <w:pPr>
        <w:pStyle w:val="BodyText"/>
        <w:rPr>
          <w:sz w:val="26"/>
        </w:rPr>
      </w:pPr>
    </w:p>
    <w:p>
      <w:pPr>
        <w:pStyle w:val="BodyText"/>
        <w:spacing w:line="480" w:lineRule="auto" w:before="217"/>
        <w:ind w:left="120" w:right="256"/>
      </w:pPr>
      <w:r>
        <w:rPr/>
        <w:t>As a result of this needs assessment, Family Crisis Services staff and partners will address recommendations to provide education and training to all stakeholders: victim services staff, law</w:t>
      </w:r>
      <w:r>
        <w:rPr>
          <w:spacing w:val="-3"/>
        </w:rPr>
        <w:t> </w:t>
      </w:r>
      <w:r>
        <w:rPr/>
        <w:t>enforcement,</w:t>
      </w:r>
      <w:r>
        <w:rPr>
          <w:spacing w:val="-3"/>
        </w:rPr>
        <w:t> </w:t>
      </w:r>
      <w:r>
        <w:rPr/>
        <w:t>disability</w:t>
      </w:r>
      <w:r>
        <w:rPr>
          <w:spacing w:val="-4"/>
        </w:rPr>
        <w:t> </w:t>
      </w:r>
      <w:r>
        <w:rPr/>
        <w:t>service</w:t>
      </w:r>
      <w:r>
        <w:rPr>
          <w:spacing w:val="-3"/>
        </w:rPr>
        <w:t> </w:t>
      </w:r>
      <w:r>
        <w:rPr/>
        <w:t>providers,</w:t>
      </w:r>
      <w:r>
        <w:rPr>
          <w:spacing w:val="-4"/>
        </w:rPr>
        <w:t> </w:t>
      </w:r>
      <w:r>
        <w:rPr/>
        <w:t>and</w:t>
      </w:r>
      <w:r>
        <w:rPr>
          <w:spacing w:val="-4"/>
        </w:rPr>
        <w:t> </w:t>
      </w:r>
      <w:r>
        <w:rPr/>
        <w:t>persons</w:t>
      </w:r>
      <w:r>
        <w:rPr>
          <w:spacing w:val="-4"/>
        </w:rPr>
        <w:t> </w:t>
      </w:r>
      <w:r>
        <w:rPr/>
        <w:t>with</w:t>
      </w:r>
      <w:r>
        <w:rPr>
          <w:spacing w:val="-4"/>
        </w:rPr>
        <w:t> </w:t>
      </w:r>
      <w:r>
        <w:rPr/>
        <w:t>disabilities</w:t>
      </w:r>
      <w:r>
        <w:rPr>
          <w:spacing w:val="-4"/>
        </w:rPr>
        <w:t> </w:t>
      </w:r>
      <w:r>
        <w:rPr/>
        <w:t>and</w:t>
      </w:r>
      <w:r>
        <w:rPr>
          <w:spacing w:val="-4"/>
        </w:rPr>
        <w:t> </w:t>
      </w:r>
      <w:r>
        <w:rPr/>
        <w:t>those</w:t>
      </w:r>
      <w:r>
        <w:rPr>
          <w:spacing w:val="-4"/>
        </w:rPr>
        <w:t> </w:t>
      </w:r>
      <w:r>
        <w:rPr/>
        <w:t>who</w:t>
      </w:r>
      <w:r>
        <w:rPr>
          <w:spacing w:val="-4"/>
        </w:rPr>
        <w:t> </w:t>
      </w:r>
      <w:r>
        <w:rPr/>
        <w:t>are </w:t>
      </w:r>
      <w:r>
        <w:rPr>
          <w:spacing w:val="-2"/>
        </w:rPr>
        <w:t>Deaf.</w:t>
      </w:r>
    </w:p>
    <w:sectPr>
      <w:pgSz w:w="12240" w:h="15840"/>
      <w:pgMar w:top="1360" w:bottom="28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319" w:hanging="200"/>
        <w:jc w:val="right"/>
      </w:pPr>
      <w:rPr>
        <w:rFonts w:hint="default" w:ascii="Times New Roman" w:hAnsi="Times New Roman" w:eastAsia="Times New Roman" w:cs="Times New Roman"/>
        <w:b w:val="0"/>
        <w:bCs w:val="0"/>
        <w:i w:val="0"/>
        <w:iCs w:val="0"/>
        <w:w w:val="99"/>
        <w:sz w:val="24"/>
        <w:szCs w:val="24"/>
        <w:lang w:val="en-US" w:eastAsia="en-US" w:bidi="ar-SA"/>
      </w:rPr>
    </w:lvl>
    <w:lvl w:ilvl="1">
      <w:start w:val="0"/>
      <w:numFmt w:val="bullet"/>
      <w:lvlText w:val="•"/>
      <w:lvlJc w:val="left"/>
      <w:pPr>
        <w:ind w:left="1246" w:hanging="200"/>
      </w:pPr>
      <w:rPr>
        <w:rFonts w:hint="default"/>
        <w:lang w:val="en-US" w:eastAsia="en-US" w:bidi="ar-SA"/>
      </w:rPr>
    </w:lvl>
    <w:lvl w:ilvl="2">
      <w:start w:val="0"/>
      <w:numFmt w:val="bullet"/>
      <w:lvlText w:val="•"/>
      <w:lvlJc w:val="left"/>
      <w:pPr>
        <w:ind w:left="2172" w:hanging="200"/>
      </w:pPr>
      <w:rPr>
        <w:rFonts w:hint="default"/>
        <w:lang w:val="en-US" w:eastAsia="en-US" w:bidi="ar-SA"/>
      </w:rPr>
    </w:lvl>
    <w:lvl w:ilvl="3">
      <w:start w:val="0"/>
      <w:numFmt w:val="bullet"/>
      <w:lvlText w:val="•"/>
      <w:lvlJc w:val="left"/>
      <w:pPr>
        <w:ind w:left="3098" w:hanging="200"/>
      </w:pPr>
      <w:rPr>
        <w:rFonts w:hint="default"/>
        <w:lang w:val="en-US" w:eastAsia="en-US" w:bidi="ar-SA"/>
      </w:rPr>
    </w:lvl>
    <w:lvl w:ilvl="4">
      <w:start w:val="0"/>
      <w:numFmt w:val="bullet"/>
      <w:lvlText w:val="•"/>
      <w:lvlJc w:val="left"/>
      <w:pPr>
        <w:ind w:left="4024" w:hanging="200"/>
      </w:pPr>
      <w:rPr>
        <w:rFonts w:hint="default"/>
        <w:lang w:val="en-US" w:eastAsia="en-US" w:bidi="ar-SA"/>
      </w:rPr>
    </w:lvl>
    <w:lvl w:ilvl="5">
      <w:start w:val="0"/>
      <w:numFmt w:val="bullet"/>
      <w:lvlText w:val="•"/>
      <w:lvlJc w:val="left"/>
      <w:pPr>
        <w:ind w:left="4950" w:hanging="200"/>
      </w:pPr>
      <w:rPr>
        <w:rFonts w:hint="default"/>
        <w:lang w:val="en-US" w:eastAsia="en-US" w:bidi="ar-SA"/>
      </w:rPr>
    </w:lvl>
    <w:lvl w:ilvl="6">
      <w:start w:val="0"/>
      <w:numFmt w:val="bullet"/>
      <w:lvlText w:val="•"/>
      <w:lvlJc w:val="left"/>
      <w:pPr>
        <w:ind w:left="5876" w:hanging="200"/>
      </w:pPr>
      <w:rPr>
        <w:rFonts w:hint="default"/>
        <w:lang w:val="en-US" w:eastAsia="en-US" w:bidi="ar-SA"/>
      </w:rPr>
    </w:lvl>
    <w:lvl w:ilvl="7">
      <w:start w:val="0"/>
      <w:numFmt w:val="bullet"/>
      <w:lvlText w:val="•"/>
      <w:lvlJc w:val="left"/>
      <w:pPr>
        <w:ind w:left="6802" w:hanging="200"/>
      </w:pPr>
      <w:rPr>
        <w:rFonts w:hint="default"/>
        <w:lang w:val="en-US" w:eastAsia="en-US" w:bidi="ar-SA"/>
      </w:rPr>
    </w:lvl>
    <w:lvl w:ilvl="8">
      <w:start w:val="0"/>
      <w:numFmt w:val="bullet"/>
      <w:lvlText w:val="•"/>
      <w:lvlJc w:val="left"/>
      <w:pPr>
        <w:ind w:left="7728" w:hanging="20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spacing w:before="60"/>
      <w:ind w:left="120"/>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319" w:hanging="374"/>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Lockheed Martin</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OVC</dc:creator>
  <cp:keywords>crime, victim, disabilities, needs assessment</cp:keywords>
  <dc:subject>crime victims with disabilities</dc:subject>
  <dc:title>Sample Community Needs Assessment Report</dc:title>
  <dcterms:created xsi:type="dcterms:W3CDTF">2023-12-19T07:23:54Z</dcterms:created>
  <dcterms:modified xsi:type="dcterms:W3CDTF">2023-12-19T07:23:54Z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2012-08-17T00:00:00Z</vt:filetime>
  </property>
  <property fmtid="{D5CDD505-2E9C-101B-9397-08002B2CF9AE}" pid="3" name="Creator">
    <vt:lpwstr>Acrobat PDFMaker 8.1 for Word</vt:lpwstr>
  </property>
  <property fmtid="{D5CDD505-2E9C-101B-9397-08002B2CF9AE}" pid="4" name="LastSaved">
    <vt:filetime>2023-12-19T00:00:00Z</vt:filetime>
  </property>
  <property fmtid="{D5CDD505-2E9C-101B-9397-08002B2CF9AE}" pid="5" name="Producer">
    <vt:lpwstr>Acrobat Distiller 8.3.1 (Windows)</vt:lpwstr>
  </property>
  <property fmtid="{D5CDD505-2E9C-101B-9397-08002B2CF9AE}" pid="6" name="SourceModified">
    <vt:lpwstr>D:20120817143713</vt:lpwstr>
  </property>
</Properties>
</file>