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3.779999pt;margin-top:714.935791pt;width:4.45pt;height:8.950pt;mso-position-horizontal-relative:page;mso-position-vertical-relative:page;z-index:-15884288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585858"/>
                      <w:w w:val="99"/>
                      <w:sz w:val="16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4327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01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>
          <w:color w:val="DA5521"/>
        </w:rPr>
        <w:t>Action</w:t>
      </w:r>
      <w:r>
        <w:rPr>
          <w:color w:val="DA5521"/>
          <w:spacing w:val="54"/>
        </w:rPr>
        <w:t> </w:t>
      </w:r>
      <w:r>
        <w:rPr>
          <w:color w:val="DA5521"/>
        </w:rPr>
        <w:t>Plan</w:t>
      </w:r>
      <w:r>
        <w:rPr>
          <w:color w:val="DA5521"/>
          <w:spacing w:val="55"/>
        </w:rPr>
        <w:t> </w:t>
      </w:r>
      <w:r>
        <w:rPr>
          <w:color w:val="DA5521"/>
        </w:rPr>
        <w:t>Template</w:t>
      </w:r>
    </w:p>
    <w:p>
      <w:pPr>
        <w:spacing w:before="170"/>
        <w:ind w:left="109" w:right="0" w:firstLine="0"/>
        <w:jc w:val="left"/>
        <w:rPr>
          <w:sz w:val="23"/>
        </w:rPr>
      </w:pPr>
      <w:r>
        <w:rPr>
          <w:color w:val="585858"/>
          <w:sz w:val="23"/>
        </w:rPr>
        <w:t>Evidence2Success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95"/>
        <w:ind w:left="0" w:right="452" w:firstLine="0"/>
        <w:jc w:val="right"/>
        <w:rPr>
          <w:rFonts w:ascii="Arial"/>
          <w:b/>
          <w:sz w:val="15"/>
        </w:rPr>
      </w:pPr>
      <w:r>
        <w:rPr>
          <w:rFonts w:ascii="Arial"/>
          <w:b/>
          <w:color w:val="FFFFFF"/>
          <w:sz w:val="15"/>
        </w:rPr>
        <w:t>PHASE</w:t>
      </w:r>
      <w:r>
        <w:rPr>
          <w:rFonts w:ascii="Arial"/>
          <w:b/>
          <w:color w:val="FFFFFF"/>
          <w:spacing w:val="-3"/>
          <w:sz w:val="15"/>
        </w:rPr>
        <w:t> </w:t>
      </w:r>
      <w:r>
        <w:rPr>
          <w:rFonts w:ascii="Arial"/>
          <w:b/>
          <w:color w:val="FFFFFF"/>
          <w:sz w:val="15"/>
        </w:rPr>
        <w:t>4</w:t>
      </w:r>
    </w:p>
    <w:p>
      <w:pPr>
        <w:spacing w:after="0"/>
        <w:jc w:val="right"/>
        <w:rPr>
          <w:rFonts w:ascii="Arial"/>
          <w:sz w:val="15"/>
        </w:rPr>
        <w:sectPr>
          <w:type w:val="continuous"/>
          <w:pgSz w:w="12240" w:h="15840"/>
          <w:pgMar w:top="1500" w:bottom="280" w:left="1140" w:right="8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</w:rPr>
      </w:pPr>
    </w:p>
    <w:p>
      <w:pPr>
        <w:pStyle w:val="Heading1"/>
        <w:ind w:left="5988"/>
      </w:pPr>
      <w:r>
        <w:rPr/>
        <w:pict>
          <v:rect style="position:absolute;margin-left:336.600006pt;margin-top:-1.566135pt;width:.78pt;height:21.6pt;mso-position-horizontal-relative:page;mso-position-vertical-relative:paragraph;z-index:15730176" filled="true" fillcolor="#595959" stroked="false">
            <v:fill type="solid"/>
            <w10:wrap type="none"/>
          </v:rect>
        </w:pict>
      </w:r>
      <w:r>
        <w:rPr>
          <w:color w:val="DA5521"/>
        </w:rPr>
        <w:t>Contents</w:t>
      </w:r>
    </w:p>
    <w:p>
      <w:pPr>
        <w:pStyle w:val="BodyText"/>
        <w:spacing w:before="6"/>
        <w:rPr>
          <w:sz w:val="15"/>
        </w:rPr>
      </w:pPr>
      <w:r>
        <w:rPr/>
        <w:pict>
          <v:rect style="position:absolute;margin-left:59.82pt;margin-top:10.879923pt;width:469.38pt;height:.77997pt;mso-position-horizontal-relative:page;mso-position-vertical-relative:paragraph;z-index:-15727616;mso-wrap-distance-left:0;mso-wrap-distance-right:0" filled="true" fillcolor="#595959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5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4"/>
        <w:gridCol w:w="402"/>
      </w:tblGrid>
      <w:tr>
        <w:trPr>
          <w:trHeight w:val="310" w:hRule="atLeast"/>
        </w:trPr>
        <w:tc>
          <w:tcPr>
            <w:tcW w:w="4144" w:type="dxa"/>
          </w:tcPr>
          <w:p>
            <w:pPr>
              <w:pStyle w:val="TableParagraph"/>
              <w:tabs>
                <w:tab w:pos="466" w:val="left" w:leader="none"/>
              </w:tabs>
              <w:spacing w:line="212" w:lineRule="exact" w:before="0"/>
              <w:ind w:left="50"/>
              <w:rPr>
                <w:sz w:val="19"/>
              </w:rPr>
            </w:pPr>
            <w:r>
              <w:rPr>
                <w:sz w:val="19"/>
              </w:rPr>
              <w:t>I.</w:t>
              <w:tab/>
              <w:t>Drafting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Community’s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Action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Plan</w:t>
            </w:r>
          </w:p>
        </w:tc>
        <w:tc>
          <w:tcPr>
            <w:tcW w:w="402" w:type="dxa"/>
          </w:tcPr>
          <w:p>
            <w:pPr>
              <w:pStyle w:val="TableParagraph"/>
              <w:spacing w:line="212" w:lineRule="exact" w:before="0"/>
              <w:ind w:right="48"/>
              <w:jc w:val="right"/>
              <w:rPr>
                <w:sz w:val="19"/>
              </w:rPr>
            </w:pPr>
            <w:r>
              <w:rPr>
                <w:color w:val="585858"/>
                <w:w w:val="99"/>
                <w:sz w:val="19"/>
              </w:rPr>
              <w:t>2</w:t>
            </w:r>
          </w:p>
        </w:tc>
      </w:tr>
      <w:tr>
        <w:trPr>
          <w:trHeight w:val="409" w:hRule="atLeast"/>
        </w:trPr>
        <w:tc>
          <w:tcPr>
            <w:tcW w:w="4144" w:type="dxa"/>
          </w:tcPr>
          <w:p>
            <w:pPr>
              <w:pStyle w:val="TableParagraph"/>
              <w:tabs>
                <w:tab w:pos="466" w:val="left" w:leader="none"/>
              </w:tabs>
              <w:ind w:left="50"/>
              <w:rPr>
                <w:sz w:val="19"/>
              </w:rPr>
            </w:pPr>
            <w:r>
              <w:rPr>
                <w:sz w:val="19"/>
              </w:rPr>
              <w:t>II.</w:t>
              <w:tab/>
              <w:t>Executive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Summary</w:t>
            </w:r>
          </w:p>
        </w:tc>
        <w:tc>
          <w:tcPr>
            <w:tcW w:w="402" w:type="dxa"/>
          </w:tcPr>
          <w:p>
            <w:pPr>
              <w:pStyle w:val="TableParagraph"/>
              <w:ind w:right="48"/>
              <w:jc w:val="right"/>
              <w:rPr>
                <w:sz w:val="19"/>
              </w:rPr>
            </w:pPr>
            <w:r>
              <w:rPr>
                <w:color w:val="585858"/>
                <w:w w:val="99"/>
                <w:sz w:val="19"/>
              </w:rPr>
              <w:t>3</w:t>
            </w:r>
          </w:p>
        </w:tc>
      </w:tr>
      <w:tr>
        <w:trPr>
          <w:trHeight w:val="409" w:hRule="atLeast"/>
        </w:trPr>
        <w:tc>
          <w:tcPr>
            <w:tcW w:w="4144" w:type="dxa"/>
          </w:tcPr>
          <w:p>
            <w:pPr>
              <w:pStyle w:val="TableParagraph"/>
              <w:ind w:left="50"/>
              <w:rPr>
                <w:sz w:val="19"/>
              </w:rPr>
            </w:pPr>
            <w:r>
              <w:rPr>
                <w:sz w:val="19"/>
              </w:rPr>
              <w:t>III.   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Introduction</w:t>
            </w:r>
          </w:p>
        </w:tc>
        <w:tc>
          <w:tcPr>
            <w:tcW w:w="402" w:type="dxa"/>
          </w:tcPr>
          <w:p>
            <w:pPr>
              <w:pStyle w:val="TableParagraph"/>
              <w:ind w:right="48"/>
              <w:jc w:val="right"/>
              <w:rPr>
                <w:sz w:val="19"/>
              </w:rPr>
            </w:pPr>
            <w:r>
              <w:rPr>
                <w:color w:val="585858"/>
                <w:w w:val="99"/>
                <w:sz w:val="19"/>
              </w:rPr>
              <w:t>3</w:t>
            </w:r>
          </w:p>
        </w:tc>
      </w:tr>
      <w:tr>
        <w:trPr>
          <w:trHeight w:val="409" w:hRule="atLeast"/>
        </w:trPr>
        <w:tc>
          <w:tcPr>
            <w:tcW w:w="4144" w:type="dxa"/>
          </w:tcPr>
          <w:p>
            <w:pPr>
              <w:pStyle w:val="TableParagraph"/>
              <w:ind w:left="50"/>
              <w:rPr>
                <w:sz w:val="19"/>
              </w:rPr>
            </w:pPr>
            <w:r>
              <w:rPr>
                <w:sz w:val="19"/>
              </w:rPr>
              <w:t>IV.  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Interim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Results</w:t>
            </w:r>
          </w:p>
        </w:tc>
        <w:tc>
          <w:tcPr>
            <w:tcW w:w="402" w:type="dxa"/>
          </w:tcPr>
          <w:p>
            <w:pPr>
              <w:pStyle w:val="TableParagraph"/>
              <w:ind w:right="48"/>
              <w:jc w:val="right"/>
              <w:rPr>
                <w:sz w:val="19"/>
              </w:rPr>
            </w:pPr>
            <w:r>
              <w:rPr>
                <w:color w:val="585858"/>
                <w:w w:val="99"/>
                <w:sz w:val="19"/>
              </w:rPr>
              <w:t>4</w:t>
            </w:r>
          </w:p>
        </w:tc>
      </w:tr>
      <w:tr>
        <w:trPr>
          <w:trHeight w:val="408" w:hRule="atLeast"/>
        </w:trPr>
        <w:tc>
          <w:tcPr>
            <w:tcW w:w="4144" w:type="dxa"/>
          </w:tcPr>
          <w:p>
            <w:pPr>
              <w:pStyle w:val="TableParagraph"/>
              <w:tabs>
                <w:tab w:pos="466" w:val="left" w:leader="none"/>
              </w:tabs>
              <w:ind w:left="50"/>
              <w:rPr>
                <w:sz w:val="19"/>
              </w:rPr>
            </w:pPr>
            <w:r>
              <w:rPr>
                <w:sz w:val="19"/>
              </w:rPr>
              <w:t>V.</w:t>
              <w:tab/>
              <w:t>Data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Portrait</w:t>
            </w:r>
          </w:p>
        </w:tc>
        <w:tc>
          <w:tcPr>
            <w:tcW w:w="402" w:type="dxa"/>
          </w:tcPr>
          <w:p>
            <w:pPr>
              <w:pStyle w:val="TableParagraph"/>
              <w:ind w:right="48"/>
              <w:jc w:val="right"/>
              <w:rPr>
                <w:sz w:val="19"/>
              </w:rPr>
            </w:pPr>
            <w:r>
              <w:rPr>
                <w:color w:val="393939"/>
                <w:w w:val="99"/>
                <w:sz w:val="19"/>
              </w:rPr>
              <w:t>5</w:t>
            </w:r>
          </w:p>
        </w:tc>
      </w:tr>
      <w:tr>
        <w:trPr>
          <w:trHeight w:val="408" w:hRule="atLeast"/>
        </w:trPr>
        <w:tc>
          <w:tcPr>
            <w:tcW w:w="4144" w:type="dxa"/>
          </w:tcPr>
          <w:p>
            <w:pPr>
              <w:pStyle w:val="TableParagraph"/>
              <w:spacing w:before="91"/>
              <w:ind w:left="50"/>
              <w:rPr>
                <w:sz w:val="19"/>
              </w:rPr>
            </w:pPr>
            <w:r>
              <w:rPr>
                <w:sz w:val="19"/>
              </w:rPr>
              <w:t>VI.</w:t>
            </w:r>
            <w:r>
              <w:rPr>
                <w:spacing w:val="95"/>
                <w:sz w:val="19"/>
              </w:rPr>
              <w:t> </w:t>
            </w:r>
            <w:r>
              <w:rPr>
                <w:sz w:val="19"/>
              </w:rPr>
              <w:t>About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Programs</w:t>
            </w:r>
          </w:p>
        </w:tc>
        <w:tc>
          <w:tcPr>
            <w:tcW w:w="402" w:type="dxa"/>
          </w:tcPr>
          <w:p>
            <w:pPr>
              <w:pStyle w:val="TableParagraph"/>
              <w:spacing w:before="91"/>
              <w:ind w:right="48"/>
              <w:jc w:val="right"/>
              <w:rPr>
                <w:sz w:val="19"/>
              </w:rPr>
            </w:pPr>
            <w:r>
              <w:rPr>
                <w:color w:val="585858"/>
                <w:w w:val="99"/>
                <w:sz w:val="19"/>
              </w:rPr>
              <w:t>5</w:t>
            </w:r>
          </w:p>
        </w:tc>
      </w:tr>
      <w:tr>
        <w:trPr>
          <w:trHeight w:val="409" w:hRule="atLeast"/>
        </w:trPr>
        <w:tc>
          <w:tcPr>
            <w:tcW w:w="4144" w:type="dxa"/>
          </w:tcPr>
          <w:p>
            <w:pPr>
              <w:pStyle w:val="TableParagraph"/>
              <w:ind w:left="50"/>
              <w:rPr>
                <w:sz w:val="19"/>
              </w:rPr>
            </w:pPr>
            <w:r>
              <w:rPr>
                <w:color w:val="585858"/>
                <w:sz w:val="19"/>
              </w:rPr>
              <w:t>VII.</w:t>
            </w:r>
            <w:r>
              <w:rPr>
                <w:color w:val="585858"/>
                <w:spacing w:val="95"/>
                <w:sz w:val="19"/>
              </w:rPr>
              <w:t> </w:t>
            </w:r>
            <w:r>
              <w:rPr>
                <w:sz w:val="19"/>
              </w:rPr>
              <w:t>Strategic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Financing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Plan</w:t>
            </w:r>
          </w:p>
        </w:tc>
        <w:tc>
          <w:tcPr>
            <w:tcW w:w="402" w:type="dxa"/>
          </w:tcPr>
          <w:p>
            <w:pPr>
              <w:pStyle w:val="TableParagraph"/>
              <w:ind w:right="48"/>
              <w:jc w:val="right"/>
              <w:rPr>
                <w:sz w:val="19"/>
              </w:rPr>
            </w:pPr>
            <w:r>
              <w:rPr>
                <w:color w:val="585858"/>
                <w:w w:val="99"/>
                <w:sz w:val="19"/>
              </w:rPr>
              <w:t>6</w:t>
            </w:r>
          </w:p>
        </w:tc>
      </w:tr>
      <w:tr>
        <w:trPr>
          <w:trHeight w:val="409" w:hRule="atLeast"/>
        </w:trPr>
        <w:tc>
          <w:tcPr>
            <w:tcW w:w="4144" w:type="dxa"/>
          </w:tcPr>
          <w:p>
            <w:pPr>
              <w:pStyle w:val="TableParagraph"/>
              <w:ind w:left="50"/>
              <w:rPr>
                <w:sz w:val="19"/>
              </w:rPr>
            </w:pPr>
            <w:r>
              <w:rPr>
                <w:color w:val="585858"/>
                <w:sz w:val="19"/>
              </w:rPr>
              <w:t>VIII.</w:t>
            </w:r>
            <w:r>
              <w:rPr>
                <w:color w:val="585858"/>
                <w:spacing w:val="21"/>
                <w:sz w:val="19"/>
              </w:rPr>
              <w:t> </w:t>
            </w:r>
            <w:r>
              <w:rPr>
                <w:sz w:val="19"/>
              </w:rPr>
              <w:t>About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Programs</w:t>
            </w:r>
          </w:p>
        </w:tc>
        <w:tc>
          <w:tcPr>
            <w:tcW w:w="402" w:type="dxa"/>
          </w:tcPr>
          <w:p>
            <w:pPr>
              <w:pStyle w:val="TableParagraph"/>
              <w:ind w:right="48"/>
              <w:jc w:val="right"/>
              <w:rPr>
                <w:sz w:val="19"/>
              </w:rPr>
            </w:pPr>
            <w:r>
              <w:rPr>
                <w:color w:val="585858"/>
                <w:w w:val="99"/>
                <w:sz w:val="19"/>
              </w:rPr>
              <w:t>5</w:t>
            </w:r>
          </w:p>
        </w:tc>
      </w:tr>
      <w:tr>
        <w:trPr>
          <w:trHeight w:val="409" w:hRule="atLeast"/>
        </w:trPr>
        <w:tc>
          <w:tcPr>
            <w:tcW w:w="4144" w:type="dxa"/>
          </w:tcPr>
          <w:p>
            <w:pPr>
              <w:pStyle w:val="TableParagraph"/>
              <w:ind w:left="50"/>
              <w:rPr>
                <w:sz w:val="19"/>
              </w:rPr>
            </w:pPr>
            <w:r>
              <w:rPr>
                <w:color w:val="585858"/>
                <w:sz w:val="19"/>
              </w:rPr>
              <w:t>IX.</w:t>
            </w:r>
            <w:r>
              <w:rPr>
                <w:color w:val="585858"/>
                <w:spacing w:val="97"/>
                <w:sz w:val="19"/>
              </w:rPr>
              <w:t> </w:t>
            </w:r>
            <w:r>
              <w:rPr>
                <w:sz w:val="19"/>
              </w:rPr>
              <w:t>Conclusion</w:t>
            </w:r>
          </w:p>
        </w:tc>
        <w:tc>
          <w:tcPr>
            <w:tcW w:w="402" w:type="dxa"/>
          </w:tcPr>
          <w:p>
            <w:pPr>
              <w:pStyle w:val="TableParagraph"/>
              <w:ind w:right="48"/>
              <w:jc w:val="right"/>
              <w:rPr>
                <w:sz w:val="19"/>
              </w:rPr>
            </w:pPr>
            <w:r>
              <w:rPr>
                <w:color w:val="585858"/>
                <w:w w:val="99"/>
                <w:sz w:val="19"/>
              </w:rPr>
              <w:t>7</w:t>
            </w:r>
          </w:p>
        </w:tc>
      </w:tr>
      <w:tr>
        <w:trPr>
          <w:trHeight w:val="409" w:hRule="atLeast"/>
        </w:trPr>
        <w:tc>
          <w:tcPr>
            <w:tcW w:w="4144" w:type="dxa"/>
          </w:tcPr>
          <w:p>
            <w:pPr>
              <w:pStyle w:val="TableParagraph"/>
              <w:tabs>
                <w:tab w:pos="466" w:val="left" w:leader="none"/>
              </w:tabs>
              <w:ind w:left="50"/>
              <w:rPr>
                <w:sz w:val="19"/>
              </w:rPr>
            </w:pPr>
            <w:r>
              <w:rPr>
                <w:color w:val="393939"/>
                <w:sz w:val="19"/>
              </w:rPr>
              <w:t>X.</w:t>
              <w:tab/>
            </w:r>
            <w:r>
              <w:rPr>
                <w:sz w:val="19"/>
              </w:rPr>
              <w:t>Pull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Quotes</w:t>
            </w:r>
          </w:p>
        </w:tc>
        <w:tc>
          <w:tcPr>
            <w:tcW w:w="402" w:type="dxa"/>
          </w:tcPr>
          <w:p>
            <w:pPr>
              <w:pStyle w:val="TableParagraph"/>
              <w:ind w:right="48"/>
              <w:jc w:val="right"/>
              <w:rPr>
                <w:sz w:val="19"/>
              </w:rPr>
            </w:pPr>
            <w:r>
              <w:rPr>
                <w:color w:val="585858"/>
                <w:w w:val="99"/>
                <w:sz w:val="19"/>
              </w:rPr>
              <w:t>7</w:t>
            </w:r>
          </w:p>
        </w:tc>
      </w:tr>
      <w:tr>
        <w:trPr>
          <w:trHeight w:val="310" w:hRule="atLeast"/>
        </w:trPr>
        <w:tc>
          <w:tcPr>
            <w:tcW w:w="4144" w:type="dxa"/>
          </w:tcPr>
          <w:p>
            <w:pPr>
              <w:pStyle w:val="TableParagraph"/>
              <w:tabs>
                <w:tab w:pos="466" w:val="left" w:leader="none"/>
              </w:tabs>
              <w:spacing w:line="198" w:lineRule="exact"/>
              <w:ind w:left="50"/>
              <w:rPr>
                <w:sz w:val="19"/>
              </w:rPr>
            </w:pPr>
            <w:r>
              <w:rPr>
                <w:color w:val="393939"/>
                <w:sz w:val="19"/>
              </w:rPr>
              <w:t>XI</w:t>
              <w:tab/>
            </w:r>
            <w:r>
              <w:rPr>
                <w:sz w:val="19"/>
              </w:rPr>
              <w:t>Appendix</w:t>
            </w:r>
          </w:p>
        </w:tc>
        <w:tc>
          <w:tcPr>
            <w:tcW w:w="402" w:type="dxa"/>
          </w:tcPr>
          <w:p>
            <w:pPr>
              <w:pStyle w:val="TableParagraph"/>
              <w:spacing w:line="198" w:lineRule="exact"/>
              <w:ind w:right="48"/>
              <w:jc w:val="right"/>
              <w:rPr>
                <w:sz w:val="19"/>
              </w:rPr>
            </w:pPr>
            <w:r>
              <w:rPr>
                <w:color w:val="585858"/>
                <w:w w:val="99"/>
                <w:sz w:val="19"/>
              </w:rPr>
              <w:t>7</w:t>
            </w:r>
          </w:p>
        </w:tc>
      </w:tr>
    </w:tbl>
    <w:p>
      <w:pPr>
        <w:spacing w:after="0" w:line="198" w:lineRule="exact"/>
        <w:jc w:val="right"/>
        <w:rPr>
          <w:sz w:val="19"/>
        </w:rPr>
        <w:sectPr>
          <w:footerReference w:type="default" r:id="rId6"/>
          <w:pgSz w:w="12240" w:h="15840"/>
          <w:pgMar w:footer="867" w:header="0" w:top="1500" w:bottom="1060" w:left="114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before="92"/>
        <w:ind w:left="876" w:right="0" w:firstLine="0"/>
        <w:jc w:val="left"/>
        <w:rPr>
          <w:sz w:val="26"/>
        </w:rPr>
      </w:pPr>
      <w:r>
        <w:rPr>
          <w:color w:val="DA5521"/>
          <w:sz w:val="26"/>
        </w:rPr>
        <w:t>Drafting</w:t>
      </w:r>
      <w:r>
        <w:rPr>
          <w:color w:val="DA5521"/>
          <w:spacing w:val="-7"/>
          <w:sz w:val="26"/>
        </w:rPr>
        <w:t> </w:t>
      </w:r>
      <w:r>
        <w:rPr>
          <w:color w:val="DA5521"/>
          <w:sz w:val="26"/>
        </w:rPr>
        <w:t>Your</w:t>
      </w:r>
      <w:r>
        <w:rPr>
          <w:color w:val="DA5521"/>
          <w:spacing w:val="-4"/>
          <w:sz w:val="26"/>
        </w:rPr>
        <w:t> </w:t>
      </w:r>
      <w:r>
        <w:rPr>
          <w:color w:val="DA5521"/>
          <w:sz w:val="26"/>
        </w:rPr>
        <w:t>Community’s</w:t>
      </w:r>
      <w:r>
        <w:rPr>
          <w:color w:val="DA5521"/>
          <w:spacing w:val="-5"/>
          <w:sz w:val="26"/>
        </w:rPr>
        <w:t> </w:t>
      </w:r>
      <w:r>
        <w:rPr>
          <w:color w:val="DA5521"/>
          <w:sz w:val="26"/>
        </w:rPr>
        <w:t>Action</w:t>
      </w:r>
      <w:r>
        <w:rPr>
          <w:color w:val="DA5521"/>
          <w:spacing w:val="-6"/>
          <w:sz w:val="26"/>
        </w:rPr>
        <w:t> </w:t>
      </w:r>
      <w:r>
        <w:rPr>
          <w:color w:val="DA5521"/>
          <w:sz w:val="26"/>
        </w:rPr>
        <w:t>Plan</w:t>
      </w:r>
    </w:p>
    <w:p>
      <w:pPr>
        <w:pStyle w:val="BodyText"/>
        <w:spacing w:line="328" w:lineRule="auto" w:before="240"/>
        <w:ind w:left="876" w:right="1196"/>
      </w:pPr>
      <w:r>
        <w:rPr/>
        <w:t>This document provides a template to help you organize and draft your community’s</w:t>
      </w:r>
      <w:r>
        <w:rPr>
          <w:spacing w:val="1"/>
        </w:rPr>
        <w:t> </w:t>
      </w:r>
      <w:r>
        <w:rPr/>
        <w:t>Evidence2Success action plan on behalf of your community board. It is to be used by the</w:t>
      </w:r>
      <w:r>
        <w:rPr>
          <w:spacing w:val="1"/>
        </w:rPr>
        <w:t> </w:t>
      </w:r>
      <w:r>
        <w:rPr/>
        <w:t>committee tasked with drafting the action plan. The drafting of the plan begins in Phase 4, after</w:t>
      </w:r>
      <w:r>
        <w:rPr>
          <w:spacing w:val="1"/>
        </w:rPr>
        <w:t> </w:t>
      </w:r>
      <w:r>
        <w:rPr/>
        <w:t>the Community Action Planning Workshop. The plan states the aspirational goals the community</w:t>
      </w:r>
      <w:r>
        <w:rPr>
          <w:spacing w:val="1"/>
        </w:rPr>
        <w:t> </w:t>
      </w:r>
      <w:r>
        <w:rPr/>
        <w:t>board has set for improvement in the priority outcomes, risk and protective factors identified in</w:t>
      </w:r>
      <w:r>
        <w:rPr>
          <w:spacing w:val="1"/>
        </w:rPr>
        <w:t> </w:t>
      </w:r>
      <w:r>
        <w:rPr/>
        <w:t>Youth Experience Survey data and the community’s administrative data. It spotlights the tested,</w:t>
      </w:r>
      <w:r>
        <w:rPr>
          <w:spacing w:val="1"/>
        </w:rPr>
        <w:t> </w:t>
      </w:r>
      <w:r>
        <w:rPr/>
        <w:t>effective programs chosen by the community board to respond to the priorities. It also states the</w:t>
      </w:r>
      <w:r>
        <w:rPr>
          <w:spacing w:val="1"/>
        </w:rPr>
        <w:t> </w:t>
      </w:r>
      <w:r>
        <w:rPr/>
        <w:t>program-level and participant-level goals the board has set for the each program. The action plan</w:t>
      </w:r>
      <w:r>
        <w:rPr>
          <w:spacing w:val="-50"/>
        </w:rPr>
        <w:t> </w:t>
      </w:r>
      <w:r>
        <w:rPr/>
        <w:t>explains the rationale for choosing each of the programs and the high-level implementation</w:t>
      </w:r>
      <w:r>
        <w:rPr>
          <w:spacing w:val="1"/>
        </w:rPr>
        <w:t> </w:t>
      </w:r>
      <w:r>
        <w:rPr/>
        <w:t>planning underway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each</w:t>
      </w:r>
      <w:r>
        <w:rPr>
          <w:spacing w:val="2"/>
        </w:rPr>
        <w:t> </w:t>
      </w:r>
      <w:r>
        <w:rPr/>
        <w:t>program.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also communicates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strategic</w:t>
      </w:r>
      <w:r>
        <w:rPr>
          <w:spacing w:val="1"/>
        </w:rPr>
        <w:t> </w:t>
      </w:r>
      <w:r>
        <w:rPr/>
        <w:t>financing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fund</w:t>
      </w:r>
      <w:r>
        <w:rPr>
          <w:spacing w:val="1"/>
        </w:rPr>
        <w:t> </w:t>
      </w:r>
      <w:r>
        <w:rPr/>
        <w:t>the programs and supportive infrastructure for Evidence2Success. The action plan can also be</w:t>
      </w:r>
      <w:r>
        <w:rPr>
          <w:spacing w:val="1"/>
        </w:rPr>
        <w:t> </w:t>
      </w:r>
      <w:r>
        <w:rPr/>
        <w:t>used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explain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rationale</w:t>
      </w:r>
      <w:r>
        <w:rPr>
          <w:spacing w:val="-1"/>
        </w:rPr>
        <w:t> </w:t>
      </w:r>
      <w:r>
        <w:rPr/>
        <w:t>behind any</w:t>
      </w:r>
      <w:r>
        <w:rPr>
          <w:spacing w:val="-1"/>
        </w:rPr>
        <w:t> </w:t>
      </w:r>
      <w:r>
        <w:rPr/>
        <w:t>policy</w:t>
      </w:r>
      <w:r>
        <w:rPr>
          <w:spacing w:val="-1"/>
        </w:rPr>
        <w:t> </w:t>
      </w:r>
      <w:r>
        <w:rPr/>
        <w:t>changes recommended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 board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part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0"/>
        </w:rPr>
        <w:t> </w:t>
      </w:r>
      <w:r>
        <w:rPr/>
        <w:t>Evidence2Success</w:t>
      </w:r>
      <w:r>
        <w:rPr>
          <w:spacing w:val="-1"/>
        </w:rPr>
        <w:t> </w:t>
      </w:r>
      <w:r>
        <w:rPr/>
        <w:t>effort.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328" w:lineRule="auto"/>
        <w:ind w:left="876" w:right="1262"/>
      </w:pPr>
      <w:r>
        <w:rPr/>
        <w:t>The</w:t>
      </w:r>
      <w:r>
        <w:rPr>
          <w:spacing w:val="-1"/>
        </w:rPr>
        <w:t> </w:t>
      </w:r>
      <w:r>
        <w:rPr/>
        <w:t>action</w:t>
      </w:r>
      <w:r>
        <w:rPr>
          <w:spacing w:val="-1"/>
        </w:rPr>
        <w:t> </w:t>
      </w:r>
      <w:r>
        <w:rPr/>
        <w:t>plan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valuable tool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communicating about</w:t>
      </w:r>
      <w:r>
        <w:rPr>
          <w:spacing w:val="-1"/>
        </w:rPr>
        <w:t> </w:t>
      </w:r>
      <w:r>
        <w:rPr/>
        <w:t>Evidence2Success</w:t>
      </w:r>
      <w:r>
        <w:rPr>
          <w:spacing w:val="-1"/>
        </w:rPr>
        <w:t> </w:t>
      </w:r>
      <w:r>
        <w:rPr/>
        <w:t>since it</w:t>
      </w:r>
      <w:r>
        <w:rPr>
          <w:spacing w:val="-1"/>
        </w:rPr>
        <w:t> </w:t>
      </w:r>
      <w:r>
        <w:rPr/>
        <w:t>provides</w:t>
      </w:r>
      <w:r>
        <w:rPr>
          <w:spacing w:val="-1"/>
        </w:rPr>
        <w:t> </w:t>
      </w:r>
      <w:r>
        <w:rPr/>
        <w:t>a</w:t>
      </w:r>
      <w:r>
        <w:rPr>
          <w:spacing w:val="-50"/>
        </w:rPr>
        <w:t> </w:t>
      </w:r>
      <w:r>
        <w:rPr/>
        <w:t>tangible picture to the community at large. The plan may, for example, be used to convince other</w:t>
      </w:r>
      <w:r>
        <w:rPr>
          <w:spacing w:val="-50"/>
        </w:rPr>
        <w:t> </w:t>
      </w:r>
      <w:r>
        <w:rPr/>
        <w:t>agencies of the value of participation. It may be shared with the state legislature to show how</w:t>
      </w:r>
      <w:r>
        <w:rPr>
          <w:spacing w:val="1"/>
        </w:rPr>
        <w:t> </w:t>
      </w:r>
      <w:r>
        <w:rPr/>
        <w:t>partners are investing more wisely or to garner interest in scaling or expanding the effort. It also</w:t>
      </w:r>
      <w:r>
        <w:rPr>
          <w:spacing w:val="1"/>
        </w:rPr>
        <w:t> </w:t>
      </w:r>
      <w:r>
        <w:rPr/>
        <w:t>may be used to support grant applications for program funding and related work. For effective</w:t>
      </w:r>
      <w:r>
        <w:rPr>
          <w:spacing w:val="1"/>
        </w:rPr>
        <w:t> </w:t>
      </w:r>
      <w:r>
        <w:rPr/>
        <w:t>dissemination, we recommend posting the finished action plan online and emailing stakeholders</w:t>
      </w:r>
      <w:r>
        <w:rPr>
          <w:spacing w:val="1"/>
        </w:rPr>
        <w:t> </w:t>
      </w:r>
      <w:r>
        <w:rPr/>
        <w:t>with a link to the document. It may be useful to include internal links within the document to help</w:t>
      </w:r>
      <w:r>
        <w:rPr>
          <w:spacing w:val="1"/>
        </w:rPr>
        <w:t> </w:t>
      </w:r>
      <w:r>
        <w:rPr/>
        <w:t>readers</w:t>
      </w:r>
      <w:r>
        <w:rPr>
          <w:spacing w:val="-1"/>
        </w:rPr>
        <w:t> </w:t>
      </w:r>
      <w:r>
        <w:rPr/>
        <w:t>navigate more easily.</w:t>
      </w:r>
    </w:p>
    <w:p>
      <w:pPr>
        <w:pStyle w:val="BodyText"/>
        <w:spacing w:line="328" w:lineRule="auto" w:before="178"/>
        <w:ind w:left="876" w:right="1240"/>
      </w:pPr>
      <w:r>
        <w:rPr/>
        <w:t>This template is based on the Providence 2015-2018 action plan and various Communities That</w:t>
      </w:r>
      <w:r>
        <w:rPr>
          <w:spacing w:val="1"/>
        </w:rPr>
        <w:t> </w:t>
      </w:r>
      <w:r>
        <w:rPr/>
        <w:t>Care action plans. Providence’s action plan can be found at</w:t>
      </w:r>
      <w:r>
        <w:rPr>
          <w:spacing w:val="1"/>
        </w:rPr>
        <w:t> </w:t>
      </w:r>
      <w:hyperlink r:id="rId8">
        <w:r>
          <w:rPr>
            <w:color w:val="005293"/>
            <w:u w:val="single" w:color="005293"/>
          </w:rPr>
          <w:t>http://www.aecf.org/m/resourcedoc/PCYC-Evidence2SuccessActionPlan-2015.pdf</w:t>
        </w:r>
        <w:r>
          <w:rPr/>
          <w:t>. </w:t>
        </w:r>
      </w:hyperlink>
      <w:r>
        <w:rPr/>
        <w:t>The</w:t>
      </w:r>
      <w:r>
        <w:rPr>
          <w:spacing w:val="1"/>
        </w:rPr>
        <w:t> </w:t>
      </w:r>
      <w:r>
        <w:rPr/>
        <w:t>Providence</w:t>
      </w:r>
      <w:r>
        <w:rPr>
          <w:spacing w:val="-1"/>
        </w:rPr>
        <w:t> </w:t>
      </w:r>
      <w:r>
        <w:rPr/>
        <w:t>action</w:t>
      </w:r>
      <w:r>
        <w:rPr>
          <w:spacing w:val="-1"/>
        </w:rPr>
        <w:t> </w:t>
      </w:r>
      <w:r>
        <w:rPr/>
        <w:t>plan</w:t>
      </w:r>
      <w:r>
        <w:rPr>
          <w:spacing w:val="-1"/>
        </w:rPr>
        <w:t> </w:t>
      </w:r>
      <w:r>
        <w:rPr/>
        <w:t>contains</w:t>
      </w:r>
      <w:r>
        <w:rPr>
          <w:spacing w:val="-1"/>
        </w:rPr>
        <w:t> </w:t>
      </w:r>
      <w:r>
        <w:rPr/>
        <w:t>some</w:t>
      </w:r>
      <w:r>
        <w:rPr>
          <w:spacing w:val="-1"/>
        </w:rPr>
        <w:t> </w:t>
      </w:r>
      <w:r>
        <w:rPr/>
        <w:t>sections that</w:t>
      </w:r>
      <w:r>
        <w:rPr>
          <w:spacing w:val="-1"/>
        </w:rPr>
        <w:t> </w:t>
      </w:r>
      <w:r>
        <w:rPr/>
        <w:t>may not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relevant</w:t>
      </w:r>
      <w:r>
        <w:rPr>
          <w:spacing w:val="-1"/>
        </w:rPr>
        <w:t> </w:t>
      </w:r>
      <w:r>
        <w:rPr/>
        <w:t>to your</w:t>
      </w:r>
      <w:r>
        <w:rPr>
          <w:spacing w:val="-1"/>
        </w:rPr>
        <w:t> </w:t>
      </w:r>
      <w:r>
        <w:rPr/>
        <w:t>community.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so,</w:t>
      </w:r>
      <w:r>
        <w:rPr>
          <w:spacing w:val="-50"/>
        </w:rPr>
        <w:t> </w:t>
      </w:r>
      <w:r>
        <w:rPr/>
        <w:t>those sections can be omitted. Your action plan should display the appropriate visual identity for</w:t>
      </w:r>
      <w:r>
        <w:rPr>
          <w:spacing w:val="1"/>
        </w:rPr>
        <w:t> </w:t>
      </w:r>
      <w:r>
        <w:rPr/>
        <w:t>Evidence2Success in your community (e.g., fonts and colors), usually that of the lead agency of</w:t>
      </w:r>
      <w:r>
        <w:rPr>
          <w:spacing w:val="1"/>
        </w:rPr>
        <w:t> </w:t>
      </w:r>
      <w:r>
        <w:rPr/>
        <w:t>your</w:t>
      </w:r>
      <w:r>
        <w:rPr>
          <w:spacing w:val="-1"/>
        </w:rPr>
        <w:t> </w:t>
      </w:r>
      <w:r>
        <w:rPr/>
        <w:t>community board.</w:t>
      </w:r>
    </w:p>
    <w:p>
      <w:pPr>
        <w:pStyle w:val="BodyText"/>
        <w:spacing w:line="328" w:lineRule="auto" w:before="179"/>
        <w:ind w:left="876" w:right="1263"/>
      </w:pPr>
      <w:r>
        <w:rPr/>
        <w:t>Action plans are often considered to be living documents. That is, they incorporate sections of</w:t>
      </w:r>
      <w:r>
        <w:rPr>
          <w:spacing w:val="1"/>
        </w:rPr>
        <w:t> </w:t>
      </w:r>
      <w:r>
        <w:rPr/>
        <w:t>other documents and are updated when changes are made to their component documents. At</w:t>
      </w:r>
      <w:r>
        <w:rPr>
          <w:spacing w:val="1"/>
        </w:rPr>
        <w:t> </w:t>
      </w:r>
      <w:r>
        <w:rPr/>
        <w:t>minimum, the action plan should be revised after the survey is readministered and the new data</w:t>
      </w:r>
      <w:r>
        <w:rPr>
          <w:spacing w:val="1"/>
        </w:rPr>
        <w:t> </w:t>
      </w:r>
      <w:r>
        <w:rPr/>
        <w:t>analyzed.</w:t>
      </w:r>
      <w:r>
        <w:rPr>
          <w:spacing w:val="-1"/>
        </w:rPr>
        <w:t> </w:t>
      </w:r>
      <w:r>
        <w:rPr/>
        <w:t>Ideally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happens</w:t>
      </w:r>
      <w:r>
        <w:rPr>
          <w:spacing w:val="-1"/>
        </w:rPr>
        <w:t> </w:t>
      </w:r>
      <w:r>
        <w:rPr/>
        <w:t>every</w:t>
      </w:r>
      <w:r>
        <w:rPr>
          <w:spacing w:val="-1"/>
        </w:rPr>
        <w:t> </w:t>
      </w:r>
      <w:r>
        <w:rPr/>
        <w:t>two years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edition</w:t>
      </w:r>
      <w:r>
        <w:rPr>
          <w:spacing w:val="1"/>
        </w:rPr>
        <w:t> </w:t>
      </w:r>
      <w:r>
        <w:rPr/>
        <w:t>will</w:t>
      </w:r>
      <w:r>
        <w:rPr>
          <w:spacing w:val="-1"/>
        </w:rPr>
        <w:t> </w:t>
      </w:r>
      <w:r>
        <w:rPr/>
        <w:t>reflect</w:t>
      </w:r>
      <w:r>
        <w:rPr>
          <w:spacing w:val="-1"/>
        </w:rPr>
        <w:t> </w:t>
      </w:r>
      <w:r>
        <w:rPr/>
        <w:t>the most</w:t>
      </w:r>
      <w:r>
        <w:rPr>
          <w:spacing w:val="-1"/>
        </w:rPr>
        <w:t> </w:t>
      </w:r>
      <w:r>
        <w:rPr/>
        <w:t>recent</w:t>
      </w:r>
      <w:r>
        <w:rPr>
          <w:spacing w:val="-49"/>
        </w:rPr>
        <w:t> </w:t>
      </w:r>
      <w:r>
        <w:rPr/>
        <w:t>survey data. This is a check on the course the community has taken. The data should</w:t>
      </w:r>
      <w:r>
        <w:rPr>
          <w:spacing w:val="1"/>
        </w:rPr>
        <w:t> </w:t>
      </w:r>
      <w:r>
        <w:rPr/>
        <w:t>demonstrate the progress being made. The community board will compare it to the degree of</w:t>
      </w:r>
      <w:r>
        <w:rPr>
          <w:spacing w:val="1"/>
        </w:rPr>
        <w:t> </w:t>
      </w:r>
      <w:r>
        <w:rPr/>
        <w:t>change envisioned at the Community Planning Workshop and can make course corrections, if</w:t>
      </w:r>
      <w:r>
        <w:rPr>
          <w:spacing w:val="1"/>
        </w:rPr>
        <w:t> </w:t>
      </w:r>
      <w:r>
        <w:rPr/>
        <w:t>appropriate.</w:t>
      </w:r>
    </w:p>
    <w:p>
      <w:pPr>
        <w:spacing w:after="0" w:line="328" w:lineRule="auto"/>
        <w:sectPr>
          <w:footerReference w:type="default" r:id="rId7"/>
          <w:pgSz w:w="12240" w:h="15840"/>
          <w:pgMar w:footer="1341" w:header="0" w:top="1500" w:bottom="1540" w:left="114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before="94"/>
        <w:ind w:left="87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585858"/>
          <w:sz w:val="20"/>
        </w:rPr>
        <w:t>USING</w:t>
      </w:r>
      <w:r>
        <w:rPr>
          <w:rFonts w:ascii="Arial"/>
          <w:b/>
          <w:color w:val="585858"/>
          <w:spacing w:val="37"/>
          <w:sz w:val="20"/>
        </w:rPr>
        <w:t> </w:t>
      </w:r>
      <w:r>
        <w:rPr>
          <w:rFonts w:ascii="Arial"/>
          <w:b/>
          <w:color w:val="585858"/>
          <w:sz w:val="20"/>
        </w:rPr>
        <w:t>THIS</w:t>
      </w:r>
      <w:r>
        <w:rPr>
          <w:rFonts w:ascii="Arial"/>
          <w:b/>
          <w:color w:val="585858"/>
          <w:spacing w:val="37"/>
          <w:sz w:val="20"/>
        </w:rPr>
        <w:t> </w:t>
      </w:r>
      <w:r>
        <w:rPr>
          <w:rFonts w:ascii="Arial"/>
          <w:b/>
          <w:color w:val="585858"/>
          <w:sz w:val="20"/>
        </w:rPr>
        <w:t>TEMPLATE</w:t>
      </w:r>
    </w:p>
    <w:p>
      <w:pPr>
        <w:pStyle w:val="BodyText"/>
        <w:spacing w:line="328" w:lineRule="auto" w:before="183"/>
        <w:ind w:left="876" w:right="1337"/>
      </w:pPr>
      <w:r>
        <w:rPr/>
        <w:t>Typical major sections of an action plan are listed below, with typical subsections and</w:t>
      </w:r>
      <w:r>
        <w:rPr>
          <w:spacing w:val="1"/>
        </w:rPr>
        <w:t> </w:t>
      </w:r>
      <w:r>
        <w:rPr/>
        <w:t>suggestions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include</w:t>
      </w:r>
      <w:r>
        <w:rPr>
          <w:spacing w:val="-1"/>
        </w:rPr>
        <w:t> </w:t>
      </w:r>
      <w:r>
        <w:rPr/>
        <w:t>in each</w:t>
      </w:r>
      <w:r>
        <w:rPr>
          <w:spacing w:val="-1"/>
        </w:rPr>
        <w:t> </w:t>
      </w:r>
      <w:r>
        <w:rPr/>
        <w:t>section.</w:t>
      </w:r>
      <w:r>
        <w:rPr>
          <w:spacing w:val="-1"/>
        </w:rPr>
        <w:t> </w:t>
      </w:r>
      <w:r>
        <w:rPr/>
        <w:t>Refer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Providence</w:t>
      </w:r>
      <w:r>
        <w:rPr>
          <w:spacing w:val="-1"/>
        </w:rPr>
        <w:t> </w:t>
      </w:r>
      <w:r>
        <w:rPr/>
        <w:t>action plan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an</w:t>
      </w:r>
      <w:r>
        <w:rPr>
          <w:spacing w:val="-49"/>
        </w:rPr>
        <w:t> </w:t>
      </w:r>
      <w:r>
        <w:rPr/>
        <w:t>example. As you draft the report, keep the tone crisp and businesslike but not too formal. Avoid</w:t>
      </w:r>
      <w:r>
        <w:rPr>
          <w:spacing w:val="1"/>
        </w:rPr>
        <w:t> </w:t>
      </w:r>
      <w:r>
        <w:rPr/>
        <w:t>jargon</w:t>
      </w:r>
      <w:r>
        <w:rPr>
          <w:spacing w:val="-1"/>
        </w:rPr>
        <w:t> </w:t>
      </w:r>
      <w:r>
        <w:rPr/>
        <w:t>as the plan</w:t>
      </w:r>
      <w:r>
        <w:rPr>
          <w:spacing w:val="1"/>
        </w:rPr>
        <w:t> </w:t>
      </w:r>
      <w:r>
        <w:rPr/>
        <w:t>will used by a variety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readers.</w:t>
      </w:r>
    </w:p>
    <w:p>
      <w:pPr>
        <w:spacing w:line="328" w:lineRule="auto" w:before="175"/>
        <w:ind w:left="875" w:right="1284" w:firstLine="0"/>
        <w:jc w:val="left"/>
        <w:rPr>
          <w:sz w:val="19"/>
        </w:rPr>
      </w:pPr>
      <w:r>
        <w:rPr>
          <w:sz w:val="19"/>
        </w:rPr>
        <w:t>Your action plan will need to be reviewed by the </w:t>
      </w:r>
      <w:r>
        <w:rPr>
          <w:rFonts w:ascii="Arial"/>
          <w:b/>
          <w:sz w:val="19"/>
        </w:rPr>
        <w:t>Evidence2Success Community Review</w:t>
      </w:r>
      <w:r>
        <w:rPr>
          <w:rFonts w:ascii="Arial"/>
          <w:b/>
          <w:spacing w:val="1"/>
          <w:sz w:val="19"/>
        </w:rPr>
        <w:t> </w:t>
      </w:r>
      <w:r>
        <w:rPr>
          <w:rFonts w:ascii="Arial"/>
          <w:b/>
          <w:sz w:val="19"/>
        </w:rPr>
        <w:t>Committee </w:t>
      </w:r>
      <w:r>
        <w:rPr>
          <w:sz w:val="19"/>
        </w:rPr>
        <w:t>before it can be considered final. Check with your coach about the proper procedure</w:t>
      </w:r>
      <w:r>
        <w:rPr>
          <w:spacing w:val="-50"/>
          <w:sz w:val="19"/>
        </w:rPr>
        <w:t> </w:t>
      </w:r>
      <w:r>
        <w:rPr>
          <w:sz w:val="19"/>
        </w:rPr>
        <w:t>for</w:t>
      </w:r>
      <w:r>
        <w:rPr>
          <w:spacing w:val="-1"/>
          <w:sz w:val="19"/>
        </w:rPr>
        <w:t> </w:t>
      </w:r>
      <w:r>
        <w:rPr>
          <w:sz w:val="19"/>
        </w:rPr>
        <w:t>securing a review.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24"/>
      </w:pPr>
      <w:r>
        <w:rPr>
          <w:color w:val="DA5521"/>
        </w:rPr>
        <w:t>Executive</w:t>
      </w:r>
      <w:r>
        <w:rPr>
          <w:color w:val="DA5521"/>
          <w:spacing w:val="-4"/>
        </w:rPr>
        <w:t> </w:t>
      </w:r>
      <w:r>
        <w:rPr>
          <w:color w:val="DA5521"/>
        </w:rPr>
        <w:t>Summary</w:t>
      </w:r>
      <w:r>
        <w:rPr>
          <w:color w:val="DA5521"/>
          <w:spacing w:val="-4"/>
        </w:rPr>
        <w:t> </w:t>
      </w:r>
      <w:r>
        <w:rPr>
          <w:color w:val="DA5521"/>
        </w:rPr>
        <w:t>(See</w:t>
      </w:r>
      <w:r>
        <w:rPr>
          <w:color w:val="DA5521"/>
          <w:spacing w:val="-4"/>
        </w:rPr>
        <w:t> </w:t>
      </w:r>
      <w:r>
        <w:rPr>
          <w:color w:val="DA5521"/>
        </w:rPr>
        <w:t>pages</w:t>
      </w:r>
      <w:r>
        <w:rPr>
          <w:color w:val="DA5521"/>
          <w:spacing w:val="-4"/>
        </w:rPr>
        <w:t> </w:t>
      </w:r>
      <w:r>
        <w:rPr>
          <w:color w:val="DA5521"/>
        </w:rPr>
        <w:t>1–2</w:t>
      </w:r>
      <w:r>
        <w:rPr>
          <w:color w:val="DA5521"/>
          <w:spacing w:val="-4"/>
        </w:rPr>
        <w:t> </w:t>
      </w:r>
      <w:r>
        <w:rPr>
          <w:color w:val="DA5521"/>
        </w:rPr>
        <w:t>of</w:t>
      </w:r>
      <w:r>
        <w:rPr>
          <w:color w:val="DA5521"/>
          <w:spacing w:val="-4"/>
        </w:rPr>
        <w:t> </w:t>
      </w:r>
      <w:r>
        <w:rPr>
          <w:color w:val="DA5521"/>
        </w:rPr>
        <w:t>the</w:t>
      </w:r>
      <w:r>
        <w:rPr>
          <w:color w:val="DA5521"/>
          <w:spacing w:val="-4"/>
        </w:rPr>
        <w:t> </w:t>
      </w:r>
      <w:r>
        <w:rPr>
          <w:color w:val="DA5521"/>
        </w:rPr>
        <w:t>sample</w:t>
      </w:r>
      <w:r>
        <w:rPr>
          <w:color w:val="DA5521"/>
          <w:spacing w:val="-4"/>
        </w:rPr>
        <w:t> </w:t>
      </w:r>
      <w:r>
        <w:rPr>
          <w:color w:val="DA5521"/>
        </w:rPr>
        <w:t>action</w:t>
      </w:r>
      <w:r>
        <w:rPr>
          <w:color w:val="DA5521"/>
          <w:spacing w:val="-4"/>
        </w:rPr>
        <w:t> </w:t>
      </w:r>
      <w:r>
        <w:rPr>
          <w:color w:val="DA5521"/>
        </w:rPr>
        <w:t>plan)</w:t>
      </w:r>
    </w:p>
    <w:p>
      <w:pPr>
        <w:pStyle w:val="BodyText"/>
        <w:spacing w:line="328" w:lineRule="auto" w:before="239"/>
        <w:ind w:left="876" w:right="1236"/>
      </w:pPr>
      <w:r>
        <w:rPr/>
        <w:t>The executive summary is the most important section of your action plan, because it is the</w:t>
      </w:r>
      <w:r>
        <w:rPr>
          <w:spacing w:val="1"/>
        </w:rPr>
        <w:t> </w:t>
      </w:r>
      <w:r>
        <w:rPr/>
        <w:t>section most likely to be read in its entirety. For this reason, be sure your executive summary</w:t>
      </w:r>
      <w:r>
        <w:rPr>
          <w:spacing w:val="1"/>
        </w:rPr>
        <w:t> </w:t>
      </w:r>
      <w:r>
        <w:rPr/>
        <w:t>makes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crucial</w:t>
      </w:r>
      <w:r>
        <w:rPr>
          <w:spacing w:val="-1"/>
        </w:rPr>
        <w:t> </w:t>
      </w:r>
      <w:r>
        <w:rPr/>
        <w:t>points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document.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executive summary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usually written</w:t>
      </w:r>
      <w:r>
        <w:rPr>
          <w:spacing w:val="-1"/>
        </w:rPr>
        <w:t> </w:t>
      </w:r>
      <w:r>
        <w:rPr/>
        <w:t>last,</w:t>
      </w:r>
      <w:r>
        <w:rPr>
          <w:spacing w:val="-1"/>
        </w:rPr>
        <w:t> </w:t>
      </w:r>
      <w:r>
        <w:rPr/>
        <w:t>after</w:t>
      </w:r>
      <w:r>
        <w:rPr>
          <w:spacing w:val="-2"/>
        </w:rPr>
        <w:t> </w:t>
      </w:r>
      <w:r>
        <w:rPr/>
        <w:t>the</w:t>
      </w:r>
      <w:r>
        <w:rPr>
          <w:spacing w:val="-49"/>
        </w:rPr>
        <w:t> </w:t>
      </w:r>
      <w:r>
        <w:rPr/>
        <w:t>rest</w:t>
      </w:r>
      <w:r>
        <w:rPr>
          <w:spacing w:val="-1"/>
        </w:rPr>
        <w:t> </w:t>
      </w:r>
      <w:r>
        <w:rPr/>
        <w:t>of the plan has been composed.</w:t>
      </w:r>
    </w:p>
    <w:p>
      <w:pPr>
        <w:pStyle w:val="BodyText"/>
        <w:spacing w:line="328" w:lineRule="auto" w:before="176"/>
        <w:ind w:left="876" w:right="1216"/>
        <w:jc w:val="both"/>
      </w:pPr>
      <w:r>
        <w:rPr/>
        <w:t>Traditionally, an executive summary is one page in length (one side of one page). In recent years</w:t>
      </w:r>
      <w:r>
        <w:rPr>
          <w:spacing w:val="-50"/>
        </w:rPr>
        <w:t> </w:t>
      </w:r>
      <w:r>
        <w:rPr/>
        <w:t>executive summaries have expanded significantly. Please resist the temptation to include nuance</w:t>
      </w:r>
      <w:r>
        <w:rPr>
          <w:spacing w:val="-50"/>
        </w:rPr>
        <w:t> </w:t>
      </w:r>
      <w:r>
        <w:rPr/>
        <w:t>or detail. Like the authors of the Providence example, please limit your executive summary to one</w:t>
      </w:r>
      <w:r>
        <w:rPr>
          <w:spacing w:val="-50"/>
        </w:rPr>
        <w:t> </w:t>
      </w:r>
      <w:r>
        <w:rPr/>
        <w:t>succinct</w:t>
      </w:r>
      <w:r>
        <w:rPr>
          <w:spacing w:val="-1"/>
        </w:rPr>
        <w:t> </w:t>
      </w:r>
      <w:r>
        <w:rPr/>
        <w:t>page,</w:t>
      </w:r>
      <w:r>
        <w:rPr>
          <w:spacing w:val="1"/>
        </w:rPr>
        <w:t> </w:t>
      </w:r>
      <w:r>
        <w:rPr/>
        <w:t>front and back.</w:t>
      </w:r>
    </w:p>
    <w:p>
      <w:pPr>
        <w:pStyle w:val="BodyText"/>
        <w:spacing w:line="328" w:lineRule="auto" w:before="175"/>
        <w:ind w:left="876" w:right="1241"/>
      </w:pPr>
      <w:r>
        <w:rPr/>
        <w:t>If Evidence2Success is new to your community, you’ll want to explain the overarching goals of</w:t>
      </w:r>
      <w:r>
        <w:rPr>
          <w:spacing w:val="1"/>
        </w:rPr>
        <w:t> </w:t>
      </w:r>
      <w:r>
        <w:rPr/>
        <w:t>the initiative and why your community has chosen to participate. Also explain the role of data, the</w:t>
      </w:r>
      <w:r>
        <w:rPr>
          <w:spacing w:val="-50"/>
        </w:rPr>
        <w:t> </w:t>
      </w:r>
      <w:r>
        <w:rPr/>
        <w:t>need for prevention and early intervention and the importance of community and neighborhood</w:t>
      </w:r>
      <w:r>
        <w:rPr>
          <w:spacing w:val="1"/>
        </w:rPr>
        <w:t> </w:t>
      </w:r>
      <w:r>
        <w:rPr/>
        <w:t>involvement.</w:t>
      </w:r>
      <w:r>
        <w:rPr>
          <w:spacing w:val="-1"/>
        </w:rPr>
        <w:t> </w:t>
      </w:r>
      <w:r>
        <w:rPr/>
        <w:t>List the major agency partners.</w:t>
      </w:r>
    </w:p>
    <w:p>
      <w:pPr>
        <w:pStyle w:val="BodyText"/>
        <w:spacing w:line="328" w:lineRule="auto" w:before="176"/>
        <w:ind w:left="876" w:right="1275"/>
      </w:pPr>
      <w:r>
        <w:rPr/>
        <w:t>Next, give the priorities being addressed by the plan and why they were chosen: outcomes, risk</w:t>
      </w:r>
      <w:r>
        <w:rPr>
          <w:spacing w:val="1"/>
        </w:rPr>
        <w:t> </w:t>
      </w:r>
      <w:r>
        <w:rPr/>
        <w:t>factors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protective</w:t>
      </w:r>
      <w:r>
        <w:rPr>
          <w:spacing w:val="-1"/>
        </w:rPr>
        <w:t> </w:t>
      </w:r>
      <w:r>
        <w:rPr/>
        <w:t>factors</w:t>
      </w:r>
      <w:r>
        <w:rPr>
          <w:spacing w:val="-1"/>
        </w:rPr>
        <w:t> </w:t>
      </w:r>
      <w:r>
        <w:rPr/>
        <w:t>as well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geographic</w:t>
      </w:r>
      <w:r>
        <w:rPr>
          <w:spacing w:val="-1"/>
        </w:rPr>
        <w:t> </w:t>
      </w:r>
      <w:r>
        <w:rPr/>
        <w:t>areas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populations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focus. Then</w:t>
      </w:r>
      <w:r>
        <w:rPr>
          <w:spacing w:val="-1"/>
        </w:rPr>
        <w:t> </w:t>
      </w:r>
      <w:r>
        <w:rPr/>
        <w:t>describe</w:t>
      </w:r>
      <w:r>
        <w:rPr>
          <w:spacing w:val="-50"/>
        </w:rPr>
        <w:t> </w:t>
      </w:r>
      <w:r>
        <w:rPr/>
        <w:t>the portfolio of programs (and policies) chosen to address the priorities, noting the range of ages</w:t>
      </w:r>
      <w:r>
        <w:rPr>
          <w:spacing w:val="-50"/>
        </w:rPr>
        <w:t> </w:t>
      </w:r>
      <w:r>
        <w:rPr/>
        <w:t>and</w:t>
      </w:r>
      <w:r>
        <w:rPr>
          <w:spacing w:val="-1"/>
        </w:rPr>
        <w:t> </w:t>
      </w:r>
      <w:r>
        <w:rPr/>
        <w:t>types of prevention being used.</w:t>
      </w:r>
    </w:p>
    <w:p>
      <w:pPr>
        <w:pStyle w:val="BodyText"/>
        <w:spacing w:line="328" w:lineRule="auto" w:before="175"/>
        <w:ind w:left="876" w:right="1243"/>
      </w:pPr>
      <w:r>
        <w:rPr/>
        <w:t>Discuss</w:t>
      </w:r>
      <w:r>
        <w:rPr>
          <w:spacing w:val="-1"/>
        </w:rPr>
        <w:t> </w:t>
      </w:r>
      <w:r>
        <w:rPr/>
        <w:t>funding.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available when</w:t>
      </w:r>
      <w:r>
        <w:rPr>
          <w:spacing w:val="-1"/>
        </w:rPr>
        <w:t> </w:t>
      </w:r>
      <w:r>
        <w:rPr/>
        <w:t>you are</w:t>
      </w:r>
      <w:r>
        <w:rPr>
          <w:spacing w:val="-1"/>
        </w:rPr>
        <w:t> </w:t>
      </w:r>
      <w:r>
        <w:rPr/>
        <w:t>drafting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action</w:t>
      </w:r>
      <w:r>
        <w:rPr>
          <w:spacing w:val="-1"/>
        </w:rPr>
        <w:t> </w:t>
      </w:r>
      <w:r>
        <w:rPr/>
        <w:t>plan,</w:t>
      </w:r>
      <w:r>
        <w:rPr>
          <w:spacing w:val="-1"/>
        </w:rPr>
        <w:t> </w:t>
      </w:r>
      <w:r>
        <w:rPr/>
        <w:t>include</w:t>
      </w:r>
      <w:r>
        <w:rPr>
          <w:spacing w:val="-1"/>
        </w:rPr>
        <w:t> </w:t>
      </w:r>
      <w:r>
        <w:rPr/>
        <w:t>both</w:t>
      </w:r>
      <w:r>
        <w:rPr>
          <w:spacing w:val="-50"/>
        </w:rPr>
        <w:t> </w:t>
      </w:r>
      <w:r>
        <w:rPr/>
        <w:t>funding that has been secured and funding that is still needed. Refer to the Strategic Financing</w:t>
      </w:r>
      <w:r>
        <w:rPr>
          <w:spacing w:val="1"/>
        </w:rPr>
        <w:t> </w:t>
      </w:r>
      <w:r>
        <w:rPr/>
        <w:t>Plan</w:t>
      </w:r>
      <w:r>
        <w:rPr>
          <w:spacing w:val="-1"/>
        </w:rPr>
        <w:t> </w:t>
      </w:r>
      <w:r>
        <w:rPr/>
        <w:t>for this information.</w:t>
      </w:r>
    </w:p>
    <w:p>
      <w:pPr>
        <w:pStyle w:val="BodyText"/>
        <w:spacing w:line="328" w:lineRule="auto" w:before="176"/>
        <w:ind w:left="876" w:right="2086"/>
      </w:pPr>
      <w:r>
        <w:rPr/>
        <w:t>Close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reminding</w:t>
      </w:r>
      <w:r>
        <w:rPr>
          <w:spacing w:val="-1"/>
        </w:rPr>
        <w:t> </w:t>
      </w:r>
      <w:r>
        <w:rPr/>
        <w:t>readers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Evidence2Success will help</w:t>
      </w:r>
      <w:r>
        <w:rPr>
          <w:spacing w:val="-1"/>
        </w:rPr>
        <w:t> </w:t>
      </w:r>
      <w:r>
        <w:rPr/>
        <w:t>improve</w:t>
      </w:r>
      <w:r>
        <w:rPr>
          <w:spacing w:val="-1"/>
        </w:rPr>
        <w:t> </w:t>
      </w:r>
      <w:r>
        <w:rPr/>
        <w:t>outcomes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50"/>
        </w:rPr>
        <w:t> </w:t>
      </w:r>
      <w:r>
        <w:rPr/>
        <w:t>community’s</w:t>
      </w:r>
      <w:r>
        <w:rPr>
          <w:spacing w:val="-1"/>
        </w:rPr>
        <w:t> </w:t>
      </w:r>
      <w:r>
        <w:rPr/>
        <w:t>youth.</w:t>
      </w:r>
    </w:p>
    <w:p>
      <w:pPr>
        <w:spacing w:after="0" w:line="328" w:lineRule="auto"/>
        <w:sectPr>
          <w:footerReference w:type="default" r:id="rId9"/>
          <w:pgSz w:w="12240" w:h="15840"/>
          <w:pgMar w:footer="867" w:header="0" w:top="1500" w:bottom="1060" w:left="1140" w:right="820"/>
          <w:pgNumType w:start="4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Heading1"/>
      </w:pPr>
      <w:r>
        <w:rPr>
          <w:color w:val="DA5521"/>
        </w:rPr>
        <w:t>Introduction</w:t>
      </w:r>
      <w:r>
        <w:rPr>
          <w:color w:val="DA5521"/>
          <w:spacing w:val="-3"/>
        </w:rPr>
        <w:t> </w:t>
      </w:r>
      <w:r>
        <w:rPr>
          <w:color w:val="DA5521"/>
        </w:rPr>
        <w:t>(See</w:t>
      </w:r>
      <w:r>
        <w:rPr>
          <w:color w:val="DA5521"/>
          <w:spacing w:val="-3"/>
        </w:rPr>
        <w:t> </w:t>
      </w:r>
      <w:r>
        <w:rPr>
          <w:color w:val="DA5521"/>
        </w:rPr>
        <w:t>pages</w:t>
      </w:r>
      <w:r>
        <w:rPr>
          <w:color w:val="DA5521"/>
          <w:spacing w:val="-2"/>
        </w:rPr>
        <w:t> </w:t>
      </w:r>
      <w:r>
        <w:rPr>
          <w:color w:val="DA5521"/>
        </w:rPr>
        <w:t>3–8</w:t>
      </w:r>
      <w:r>
        <w:rPr>
          <w:color w:val="DA5521"/>
          <w:spacing w:val="-3"/>
        </w:rPr>
        <w:t> </w:t>
      </w:r>
      <w:r>
        <w:rPr>
          <w:color w:val="DA5521"/>
        </w:rPr>
        <w:t>of</w:t>
      </w:r>
      <w:r>
        <w:rPr>
          <w:color w:val="DA5521"/>
          <w:spacing w:val="-4"/>
        </w:rPr>
        <w:t> </w:t>
      </w:r>
      <w:r>
        <w:rPr>
          <w:color w:val="DA5521"/>
        </w:rPr>
        <w:t>the</w:t>
      </w:r>
      <w:r>
        <w:rPr>
          <w:color w:val="DA5521"/>
          <w:spacing w:val="-1"/>
        </w:rPr>
        <w:t> </w:t>
      </w:r>
      <w:r>
        <w:rPr>
          <w:color w:val="DA5521"/>
        </w:rPr>
        <w:t>sample</w:t>
      </w:r>
      <w:r>
        <w:rPr>
          <w:color w:val="DA5521"/>
          <w:spacing w:val="-2"/>
        </w:rPr>
        <w:t> </w:t>
      </w:r>
      <w:r>
        <w:rPr>
          <w:color w:val="DA5521"/>
        </w:rPr>
        <w:t>action</w:t>
      </w:r>
      <w:r>
        <w:rPr>
          <w:color w:val="DA5521"/>
          <w:spacing w:val="-2"/>
        </w:rPr>
        <w:t> </w:t>
      </w:r>
      <w:r>
        <w:rPr>
          <w:color w:val="DA5521"/>
        </w:rPr>
        <w:t>plan)</w:t>
      </w:r>
    </w:p>
    <w:p>
      <w:pPr>
        <w:pStyle w:val="BodyText"/>
        <w:spacing w:line="328" w:lineRule="auto" w:before="240"/>
        <w:ind w:left="876" w:right="1709"/>
      </w:pPr>
      <w:r>
        <w:rPr/>
        <w:t>The</w:t>
      </w:r>
      <w:r>
        <w:rPr>
          <w:spacing w:val="-1"/>
        </w:rPr>
        <w:t> </w:t>
      </w:r>
      <w:r>
        <w:rPr/>
        <w:t>introduction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call to action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behalf</w:t>
      </w:r>
      <w:r>
        <w:rPr>
          <w:spacing w:val="-1"/>
        </w:rPr>
        <w:t> </w:t>
      </w:r>
      <w:r>
        <w:rPr/>
        <w:t>of local</w:t>
      </w:r>
      <w:r>
        <w:rPr>
          <w:spacing w:val="-1"/>
        </w:rPr>
        <w:t> </w:t>
      </w:r>
      <w:r>
        <w:rPr/>
        <w:t>children.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many readers,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an</w:t>
      </w:r>
      <w:r>
        <w:rPr>
          <w:spacing w:val="-49"/>
        </w:rPr>
        <w:t> </w:t>
      </w:r>
      <w:r>
        <w:rPr/>
        <w:t>introduction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Evidence2Success. This section has three parts:</w:t>
      </w:r>
    </w:p>
    <w:p>
      <w:pPr>
        <w:pStyle w:val="ListParagraph"/>
        <w:numPr>
          <w:ilvl w:val="0"/>
          <w:numId w:val="1"/>
        </w:numPr>
        <w:tabs>
          <w:tab w:pos="1092" w:val="left" w:leader="none"/>
        </w:tabs>
        <w:spacing w:line="328" w:lineRule="auto" w:before="171" w:after="0"/>
        <w:ind w:left="1091" w:right="1317" w:hanging="216"/>
        <w:jc w:val="left"/>
        <w:rPr>
          <w:sz w:val="19"/>
        </w:rPr>
      </w:pPr>
      <w:r>
        <w:rPr>
          <w:sz w:val="19"/>
        </w:rPr>
        <w:t>A narrative about how your community’s children are doing (leaving the data for a subsequent</w:t>
      </w:r>
      <w:r>
        <w:rPr>
          <w:spacing w:val="-51"/>
          <w:sz w:val="19"/>
        </w:rPr>
        <w:t> </w:t>
      </w:r>
      <w:r>
        <w:rPr>
          <w:sz w:val="19"/>
        </w:rPr>
        <w:t>section), how the participating public systems are working to meet local needs and the</w:t>
      </w:r>
      <w:r>
        <w:rPr>
          <w:spacing w:val="1"/>
          <w:sz w:val="19"/>
        </w:rPr>
        <w:t> </w:t>
      </w:r>
      <w:r>
        <w:rPr>
          <w:sz w:val="19"/>
        </w:rPr>
        <w:t>challenges</w:t>
      </w:r>
      <w:r>
        <w:rPr>
          <w:spacing w:val="-1"/>
          <w:sz w:val="19"/>
        </w:rPr>
        <w:t> </w:t>
      </w:r>
      <w:r>
        <w:rPr>
          <w:sz w:val="19"/>
        </w:rPr>
        <w:t>these systems face.</w:t>
      </w:r>
    </w:p>
    <w:p>
      <w:pPr>
        <w:pStyle w:val="ListParagraph"/>
        <w:numPr>
          <w:ilvl w:val="0"/>
          <w:numId w:val="1"/>
        </w:numPr>
        <w:tabs>
          <w:tab w:pos="1092" w:val="left" w:leader="none"/>
        </w:tabs>
        <w:spacing w:line="240" w:lineRule="auto" w:before="172" w:after="0"/>
        <w:ind w:left="1092" w:right="0" w:hanging="216"/>
        <w:jc w:val="left"/>
        <w:rPr>
          <w:sz w:val="19"/>
        </w:rPr>
      </w:pP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brief</w:t>
      </w:r>
      <w:r>
        <w:rPr>
          <w:spacing w:val="-1"/>
          <w:sz w:val="19"/>
        </w:rPr>
        <w:t> </w:t>
      </w:r>
      <w:r>
        <w:rPr>
          <w:sz w:val="19"/>
        </w:rPr>
        <w:t>overview</w:t>
      </w:r>
      <w:r>
        <w:rPr>
          <w:spacing w:val="-3"/>
          <w:sz w:val="19"/>
        </w:rPr>
        <w:t> </w:t>
      </w:r>
      <w:r>
        <w:rPr>
          <w:sz w:val="19"/>
        </w:rPr>
        <w:t>of</w:t>
      </w:r>
      <w:r>
        <w:rPr>
          <w:spacing w:val="-1"/>
          <w:sz w:val="19"/>
        </w:rPr>
        <w:t> </w:t>
      </w:r>
      <w:r>
        <w:rPr>
          <w:sz w:val="19"/>
        </w:rPr>
        <w:t>the Evidence2Success framework</w:t>
      </w:r>
      <w:r>
        <w:rPr>
          <w:spacing w:val="-1"/>
          <w:sz w:val="19"/>
        </w:rPr>
        <w:t> </w:t>
      </w:r>
      <w:r>
        <w:rPr>
          <w:sz w:val="19"/>
        </w:rPr>
        <w:t>using</w:t>
      </w:r>
      <w:r>
        <w:rPr>
          <w:spacing w:val="-2"/>
          <w:sz w:val="19"/>
        </w:rPr>
        <w:t> </w:t>
      </w:r>
      <w:r>
        <w:rPr>
          <w:sz w:val="19"/>
        </w:rPr>
        <w:t>the</w:t>
      </w:r>
      <w:r>
        <w:rPr>
          <w:spacing w:val="-1"/>
          <w:sz w:val="19"/>
        </w:rPr>
        <w:t> </w:t>
      </w:r>
      <w:r>
        <w:rPr>
          <w:sz w:val="19"/>
        </w:rPr>
        <w:t>following</w:t>
      </w:r>
      <w:r>
        <w:rPr>
          <w:spacing w:val="-2"/>
          <w:sz w:val="19"/>
        </w:rPr>
        <w:t> </w:t>
      </w:r>
      <w:r>
        <w:rPr>
          <w:sz w:val="19"/>
        </w:rPr>
        <w:t>language:</w:t>
      </w:r>
    </w:p>
    <w:p>
      <w:pPr>
        <w:pStyle w:val="BodyText"/>
        <w:spacing w:before="2"/>
        <w:rPr>
          <w:sz w:val="22"/>
        </w:rPr>
      </w:pPr>
    </w:p>
    <w:p>
      <w:pPr>
        <w:spacing w:line="328" w:lineRule="auto" w:before="0"/>
        <w:ind w:left="1091" w:right="1268" w:firstLine="0"/>
        <w:jc w:val="left"/>
        <w:rPr>
          <w:rFonts w:ascii="Arial"/>
          <w:i/>
          <w:sz w:val="19"/>
        </w:rPr>
      </w:pPr>
      <w:r>
        <w:rPr>
          <w:rFonts w:ascii="Arial"/>
          <w:i/>
          <w:sz w:val="19"/>
        </w:rPr>
        <w:t>Evidence2Success promotes healthy child development by helping communities and public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systems work together to use data to understand how children are doing; select proven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programs to enhance strengths and address needs; and develop financing and action plans to</w:t>
      </w:r>
      <w:r>
        <w:rPr>
          <w:rFonts w:ascii="Arial"/>
          <w:i/>
          <w:spacing w:val="-51"/>
          <w:sz w:val="19"/>
        </w:rPr>
        <w:t> </w:t>
      </w:r>
      <w:r>
        <w:rPr>
          <w:rFonts w:ascii="Arial"/>
          <w:i/>
          <w:sz w:val="19"/>
        </w:rPr>
        <w:t>support the ongoing use of those proven programs. The framework was developed by the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Annie E. Casey Foundation, a private charitable organization dedicated to building a brighter</w:t>
      </w:r>
      <w:r>
        <w:rPr>
          <w:rFonts w:ascii="Arial"/>
          <w:i/>
          <w:spacing w:val="1"/>
          <w:sz w:val="19"/>
        </w:rPr>
        <w:t> </w:t>
      </w:r>
      <w:r>
        <w:rPr>
          <w:rFonts w:ascii="Arial"/>
          <w:i/>
          <w:sz w:val="19"/>
        </w:rPr>
        <w:t>future</w:t>
      </w:r>
      <w:r>
        <w:rPr>
          <w:rFonts w:ascii="Arial"/>
          <w:i/>
          <w:spacing w:val="-1"/>
          <w:sz w:val="19"/>
        </w:rPr>
        <w:t> </w:t>
      </w:r>
      <w:r>
        <w:rPr>
          <w:rFonts w:ascii="Arial"/>
          <w:i/>
          <w:sz w:val="19"/>
        </w:rPr>
        <w:t>for children and families,</w:t>
      </w:r>
      <w:r>
        <w:rPr>
          <w:rFonts w:ascii="Arial"/>
          <w:i/>
          <w:spacing w:val="-1"/>
          <w:sz w:val="19"/>
        </w:rPr>
        <w:t> </w:t>
      </w:r>
      <w:r>
        <w:rPr>
          <w:rFonts w:ascii="Arial"/>
          <w:i/>
          <w:sz w:val="19"/>
        </w:rPr>
        <w:t>and several partner organizations.</w:t>
      </w:r>
    </w:p>
    <w:p>
      <w:pPr>
        <w:pStyle w:val="ListParagraph"/>
        <w:numPr>
          <w:ilvl w:val="0"/>
          <w:numId w:val="1"/>
        </w:numPr>
        <w:tabs>
          <w:tab w:pos="1092" w:val="left" w:leader="none"/>
        </w:tabs>
        <w:spacing w:line="328" w:lineRule="auto" w:before="174" w:after="0"/>
        <w:ind w:left="1092" w:right="1382" w:hanging="216"/>
        <w:jc w:val="left"/>
        <w:rPr>
          <w:sz w:val="19"/>
        </w:rPr>
      </w:pP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discussion</w:t>
      </w:r>
      <w:r>
        <w:rPr>
          <w:spacing w:val="-1"/>
          <w:sz w:val="19"/>
        </w:rPr>
        <w:t> </w:t>
      </w:r>
      <w:r>
        <w:rPr>
          <w:sz w:val="19"/>
        </w:rPr>
        <w:t>about</w:t>
      </w:r>
      <w:r>
        <w:rPr>
          <w:spacing w:val="-1"/>
          <w:sz w:val="19"/>
        </w:rPr>
        <w:t> </w:t>
      </w:r>
      <w:r>
        <w:rPr>
          <w:sz w:val="19"/>
        </w:rPr>
        <w:t>the</w:t>
      </w:r>
      <w:r>
        <w:rPr>
          <w:spacing w:val="-1"/>
          <w:sz w:val="19"/>
        </w:rPr>
        <w:t> </w:t>
      </w:r>
      <w:r>
        <w:rPr>
          <w:sz w:val="19"/>
        </w:rPr>
        <w:t>local partnerships</w:t>
      </w:r>
      <w:r>
        <w:rPr>
          <w:spacing w:val="-1"/>
          <w:sz w:val="19"/>
        </w:rPr>
        <w:t> </w:t>
      </w:r>
      <w:r>
        <w:rPr>
          <w:sz w:val="19"/>
        </w:rPr>
        <w:t>and partners.</w:t>
      </w:r>
      <w:r>
        <w:rPr>
          <w:spacing w:val="-1"/>
          <w:sz w:val="19"/>
        </w:rPr>
        <w:t> </w:t>
      </w:r>
      <w:r>
        <w:rPr>
          <w:sz w:val="19"/>
        </w:rPr>
        <w:t>This</w:t>
      </w:r>
      <w:r>
        <w:rPr>
          <w:spacing w:val="-1"/>
          <w:sz w:val="19"/>
        </w:rPr>
        <w:t> </w:t>
      </w:r>
      <w:r>
        <w:rPr>
          <w:sz w:val="19"/>
        </w:rPr>
        <w:t>should</w:t>
      </w:r>
      <w:r>
        <w:rPr>
          <w:spacing w:val="-1"/>
          <w:sz w:val="19"/>
        </w:rPr>
        <w:t> </w:t>
      </w:r>
      <w:r>
        <w:rPr>
          <w:sz w:val="19"/>
        </w:rPr>
        <w:t>include</w:t>
      </w:r>
      <w:r>
        <w:rPr>
          <w:spacing w:val="-1"/>
          <w:sz w:val="19"/>
        </w:rPr>
        <w:t> </w:t>
      </w:r>
      <w:r>
        <w:rPr>
          <w:sz w:val="19"/>
        </w:rPr>
        <w:t>an</w:t>
      </w:r>
      <w:r>
        <w:rPr>
          <w:spacing w:val="-1"/>
          <w:sz w:val="19"/>
        </w:rPr>
        <w:t> </w:t>
      </w:r>
      <w:r>
        <w:rPr>
          <w:sz w:val="19"/>
        </w:rPr>
        <w:t>explanation of</w:t>
      </w:r>
      <w:r>
        <w:rPr>
          <w:spacing w:val="-50"/>
          <w:sz w:val="19"/>
        </w:rPr>
        <w:t> </w:t>
      </w:r>
      <w:r>
        <w:rPr>
          <w:sz w:val="19"/>
        </w:rPr>
        <w:t>the key leaders, community board and workgroups. If your local effort focuses on particular</w:t>
      </w:r>
      <w:r>
        <w:rPr>
          <w:spacing w:val="1"/>
          <w:sz w:val="19"/>
        </w:rPr>
        <w:t> </w:t>
      </w:r>
      <w:r>
        <w:rPr>
          <w:sz w:val="19"/>
        </w:rPr>
        <w:t>partner</w:t>
      </w:r>
      <w:r>
        <w:rPr>
          <w:spacing w:val="-1"/>
          <w:sz w:val="19"/>
        </w:rPr>
        <w:t> </w:t>
      </w:r>
      <w:r>
        <w:rPr>
          <w:sz w:val="19"/>
        </w:rPr>
        <w:t>neighborhoods, they should be described here</w:t>
      </w:r>
      <w:r>
        <w:rPr>
          <w:spacing w:val="-1"/>
          <w:sz w:val="19"/>
        </w:rPr>
        <w:t> </w:t>
      </w:r>
      <w:r>
        <w:rPr>
          <w:sz w:val="19"/>
        </w:rPr>
        <w:t>also.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28" w:lineRule="auto"/>
        <w:ind w:left="876" w:right="1875"/>
      </w:pPr>
      <w:r>
        <w:rPr/>
        <w:t>The Introduction in the sample Providence report discusses the impetus for adopting</w:t>
      </w:r>
      <w:r>
        <w:rPr>
          <w:spacing w:val="1"/>
        </w:rPr>
        <w:t> </w:t>
      </w:r>
      <w:r>
        <w:rPr/>
        <w:t>Evidence2Success. One particular issue of special concern in Providence was the cost of</w:t>
      </w:r>
      <w:r>
        <w:rPr>
          <w:spacing w:val="-51"/>
        </w:rPr>
        <w:t> </w:t>
      </w:r>
      <w:r>
        <w:rPr/>
        <w:t>congregate care. If a certain issue figured heavily in your community’s decision to adopt</w:t>
      </w:r>
      <w:r>
        <w:rPr>
          <w:spacing w:val="1"/>
        </w:rPr>
        <w:t> </w:t>
      </w:r>
      <w:r>
        <w:rPr/>
        <w:t>Evidence2Success,</w:t>
      </w:r>
      <w:r>
        <w:rPr>
          <w:spacing w:val="-2"/>
        </w:rPr>
        <w:t> </w:t>
      </w:r>
      <w:r>
        <w:rPr/>
        <w:t>you should</w:t>
      </w:r>
      <w:r>
        <w:rPr>
          <w:spacing w:val="-1"/>
        </w:rPr>
        <w:t> </w:t>
      </w:r>
      <w:r>
        <w:rPr/>
        <w:t>discuss</w:t>
      </w:r>
      <w:r>
        <w:rPr>
          <w:spacing w:val="-1"/>
        </w:rPr>
        <w:t> </w:t>
      </w:r>
      <w:r>
        <w:rPr/>
        <w:t>it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this section.</w:t>
      </w:r>
    </w:p>
    <w:p>
      <w:pPr>
        <w:pStyle w:val="BodyText"/>
        <w:spacing w:line="328" w:lineRule="auto" w:before="176"/>
        <w:ind w:left="876" w:right="1293"/>
      </w:pPr>
      <w:r>
        <w:rPr/>
        <w:t>If you are following the example from Providence, you have probably noticed some unfamiliar</w:t>
      </w:r>
      <w:r>
        <w:rPr>
          <w:spacing w:val="1"/>
        </w:rPr>
        <w:t> </w:t>
      </w:r>
      <w:r>
        <w:rPr/>
        <w:t>terms. Providence’s community board was known as the Evidence2Success Workgroup, part of</w:t>
      </w:r>
      <w:r>
        <w:rPr>
          <w:spacing w:val="1"/>
        </w:rPr>
        <w:t> </w:t>
      </w:r>
      <w:r>
        <w:rPr/>
        <w:t>the Providence Children and Youth Cabinet. (Its committees are the equivalent of your</w:t>
      </w:r>
      <w:r>
        <w:rPr>
          <w:spacing w:val="1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board’s</w:t>
      </w:r>
      <w:r>
        <w:rPr>
          <w:spacing w:val="-1"/>
        </w:rPr>
        <w:t> </w:t>
      </w:r>
      <w:r>
        <w:rPr/>
        <w:t>workgroups.)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Providence,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Evidence2Success</w:t>
      </w:r>
      <w:r>
        <w:rPr>
          <w:spacing w:val="-1"/>
        </w:rPr>
        <w:t> </w:t>
      </w:r>
      <w:r>
        <w:rPr/>
        <w:t>implementation</w:t>
      </w:r>
      <w:r>
        <w:rPr>
          <w:spacing w:val="-1"/>
        </w:rPr>
        <w:t> </w:t>
      </w:r>
      <w:r>
        <w:rPr/>
        <w:t>placed</w:t>
      </w:r>
      <w:r>
        <w:rPr>
          <w:spacing w:val="-1"/>
        </w:rPr>
        <w:t> </w:t>
      </w:r>
      <w:r>
        <w:rPr/>
        <w:t>a</w:t>
      </w:r>
      <w:r>
        <w:rPr>
          <w:spacing w:val="-50"/>
        </w:rPr>
        <w:t> </w:t>
      </w:r>
      <w:r>
        <w:rPr/>
        <w:t>large emphasis on partner neighborhoods. Representatives from these communities participate</w:t>
      </w:r>
      <w:r>
        <w:rPr>
          <w:spacing w:val="1"/>
        </w:rPr>
        <w:t> </w:t>
      </w:r>
      <w:r>
        <w:rPr/>
        <w:t>through community tables. Terminology differences such as this can occur when</w:t>
      </w:r>
      <w:r>
        <w:rPr>
          <w:spacing w:val="1"/>
        </w:rPr>
        <w:t> </w:t>
      </w:r>
      <w:r>
        <w:rPr/>
        <w:t>Evidence2Success is taken up by an existing initiative in the community. Feel free to use</w:t>
      </w:r>
      <w:r>
        <w:rPr>
          <w:spacing w:val="1"/>
        </w:rPr>
        <w:t> </w:t>
      </w:r>
      <w:r>
        <w:rPr/>
        <w:t>whatever terminology your community has adopted. After all, this plan is intended for your</w:t>
      </w:r>
      <w:r>
        <w:rPr>
          <w:spacing w:val="1"/>
        </w:rPr>
        <w:t> </w:t>
      </w:r>
      <w:r>
        <w:rPr/>
        <w:t>community’s</w:t>
      </w:r>
      <w:r>
        <w:rPr>
          <w:spacing w:val="-1"/>
        </w:rPr>
        <w:t> </w:t>
      </w:r>
      <w:r>
        <w:rPr/>
        <w:t>use.</w:t>
      </w:r>
    </w:p>
    <w:p>
      <w:pPr>
        <w:spacing w:after="0" w:line="328" w:lineRule="auto"/>
        <w:sectPr>
          <w:pgSz w:w="12240" w:h="15840"/>
          <w:pgMar w:header="0" w:footer="867" w:top="1500" w:bottom="1060" w:left="114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Heading1"/>
      </w:pPr>
      <w:r>
        <w:rPr>
          <w:color w:val="DA5521"/>
        </w:rPr>
        <w:t>Interim</w:t>
      </w:r>
      <w:r>
        <w:rPr>
          <w:color w:val="DA5521"/>
          <w:spacing w:val="-3"/>
        </w:rPr>
        <w:t> </w:t>
      </w:r>
      <w:r>
        <w:rPr>
          <w:color w:val="DA5521"/>
        </w:rPr>
        <w:t>Results</w:t>
      </w:r>
      <w:r>
        <w:rPr>
          <w:color w:val="DA5521"/>
          <w:spacing w:val="-2"/>
        </w:rPr>
        <w:t> </w:t>
      </w:r>
      <w:r>
        <w:rPr>
          <w:color w:val="DA5521"/>
        </w:rPr>
        <w:t>(See</w:t>
      </w:r>
      <w:r>
        <w:rPr>
          <w:color w:val="DA5521"/>
          <w:spacing w:val="-2"/>
        </w:rPr>
        <w:t> </w:t>
      </w:r>
      <w:r>
        <w:rPr>
          <w:color w:val="DA5521"/>
        </w:rPr>
        <w:t>page</w:t>
      </w:r>
      <w:r>
        <w:rPr>
          <w:color w:val="DA5521"/>
          <w:spacing w:val="-2"/>
        </w:rPr>
        <w:t> </w:t>
      </w:r>
      <w:r>
        <w:rPr>
          <w:color w:val="DA5521"/>
        </w:rPr>
        <w:t>9</w:t>
      </w:r>
      <w:r>
        <w:rPr>
          <w:color w:val="DA5521"/>
          <w:spacing w:val="-2"/>
        </w:rPr>
        <w:t> </w:t>
      </w:r>
      <w:r>
        <w:rPr>
          <w:color w:val="DA5521"/>
        </w:rPr>
        <w:t>of</w:t>
      </w:r>
      <w:r>
        <w:rPr>
          <w:color w:val="DA5521"/>
          <w:spacing w:val="-4"/>
        </w:rPr>
        <w:t> </w:t>
      </w:r>
      <w:r>
        <w:rPr>
          <w:color w:val="DA5521"/>
        </w:rPr>
        <w:t>the</w:t>
      </w:r>
      <w:r>
        <w:rPr>
          <w:color w:val="DA5521"/>
          <w:spacing w:val="-2"/>
        </w:rPr>
        <w:t> </w:t>
      </w:r>
      <w:r>
        <w:rPr>
          <w:color w:val="DA5521"/>
        </w:rPr>
        <w:t>sample</w:t>
      </w:r>
      <w:r>
        <w:rPr>
          <w:color w:val="DA5521"/>
          <w:spacing w:val="-2"/>
        </w:rPr>
        <w:t> </w:t>
      </w:r>
      <w:r>
        <w:rPr>
          <w:color w:val="DA5521"/>
        </w:rPr>
        <w:t>action</w:t>
      </w:r>
      <w:r>
        <w:rPr>
          <w:color w:val="DA5521"/>
          <w:spacing w:val="-2"/>
        </w:rPr>
        <w:t> </w:t>
      </w:r>
      <w:r>
        <w:rPr>
          <w:color w:val="DA5521"/>
        </w:rPr>
        <w:t>plan)</w:t>
      </w:r>
    </w:p>
    <w:p>
      <w:pPr>
        <w:pStyle w:val="BodyText"/>
        <w:spacing w:line="328" w:lineRule="auto" w:before="240"/>
        <w:ind w:left="876" w:right="1220"/>
      </w:pPr>
      <w:r>
        <w:rPr/>
        <w:t>As you know, the Evidence2Success framework provides a method for selecting programs based</w:t>
      </w:r>
      <w:r>
        <w:rPr>
          <w:spacing w:val="-51"/>
        </w:rPr>
        <w:t> </w:t>
      </w:r>
      <w:r>
        <w:rPr/>
        <w:t>on data and then implementing those programs. The programs should produce improvements in</w:t>
      </w:r>
      <w:r>
        <w:rPr>
          <w:spacing w:val="1"/>
        </w:rPr>
        <w:t> </w:t>
      </w:r>
      <w:r>
        <w:rPr/>
        <w:t>the priority outcomes, risk factors and protective factors when implemented at appropriate</w:t>
      </w:r>
      <w:r>
        <w:rPr>
          <w:spacing w:val="1"/>
        </w:rPr>
        <w:t> </w:t>
      </w:r>
      <w:r>
        <w:rPr/>
        <w:t>saturation levels with fidelity to their specifications. Those improvements are the results everyone</w:t>
      </w:r>
      <w:r>
        <w:rPr>
          <w:spacing w:val="-50"/>
        </w:rPr>
        <w:t> </w:t>
      </w:r>
      <w:r>
        <w:rPr/>
        <w:t>is waiting for, as they show real improvements in youth development. But those results are still in</w:t>
      </w:r>
      <w:r>
        <w:rPr>
          <w:spacing w:val="-50"/>
        </w:rPr>
        <w:t> </w:t>
      </w:r>
      <w:r>
        <w:rPr/>
        <w:t>the future; they take a year or more to appear after program implementation begins (depending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the survey</w:t>
      </w:r>
      <w:r>
        <w:rPr>
          <w:spacing w:val="-1"/>
        </w:rPr>
        <w:t> </w:t>
      </w:r>
      <w:r>
        <w:rPr/>
        <w:t>schedule). After</w:t>
      </w:r>
      <w:r>
        <w:rPr>
          <w:spacing w:val="-1"/>
        </w:rPr>
        <w:t> </w:t>
      </w:r>
      <w:r>
        <w:rPr/>
        <w:t>all, this document</w:t>
      </w:r>
      <w:r>
        <w:rPr>
          <w:spacing w:val="-1"/>
        </w:rPr>
        <w:t> </w:t>
      </w:r>
      <w:r>
        <w:rPr/>
        <w:t>is a</w:t>
      </w:r>
      <w:r>
        <w:rPr>
          <w:spacing w:val="-1"/>
        </w:rPr>
        <w:t> </w:t>
      </w:r>
      <w:r>
        <w:rPr/>
        <w:t>plan for</w:t>
      </w:r>
      <w:r>
        <w:rPr>
          <w:spacing w:val="-2"/>
        </w:rPr>
        <w:t> </w:t>
      </w:r>
      <w:r>
        <w:rPr/>
        <w:t>implementing the programs.</w:t>
      </w:r>
    </w:p>
    <w:p>
      <w:pPr>
        <w:pStyle w:val="BodyText"/>
        <w:spacing w:line="328" w:lineRule="auto" w:before="177"/>
        <w:ind w:left="876" w:right="1274"/>
      </w:pPr>
      <w:r>
        <w:rPr/>
        <w:t>But</w:t>
      </w:r>
      <w:r>
        <w:rPr>
          <w:spacing w:val="-1"/>
        </w:rPr>
        <w:t> </w:t>
      </w:r>
      <w:r>
        <w:rPr/>
        <w:t>most</w:t>
      </w:r>
      <w:r>
        <w:rPr>
          <w:spacing w:val="-1"/>
        </w:rPr>
        <w:t> </w:t>
      </w:r>
      <w:r>
        <w:rPr/>
        <w:t>communities 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eager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indicating</w:t>
      </w:r>
      <w:r>
        <w:rPr>
          <w:spacing w:val="-1"/>
        </w:rPr>
        <w:t> </w:t>
      </w:r>
      <w:r>
        <w:rPr/>
        <w:t>progress.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space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explain</w:t>
      </w:r>
      <w:r>
        <w:rPr>
          <w:spacing w:val="-50"/>
        </w:rPr>
        <w:t> </w:t>
      </w:r>
      <w:r>
        <w:rPr/>
        <w:t>the work the community board has done thus far. Describe the changes in system behavior that</w:t>
      </w:r>
      <w:r>
        <w:rPr>
          <w:spacing w:val="1"/>
        </w:rPr>
        <w:t> </w:t>
      </w:r>
      <w:r>
        <w:rPr/>
        <w:t>have taken place as a result. These probably include building infrastructure, improved</w:t>
      </w:r>
      <w:r>
        <w:rPr>
          <w:spacing w:val="1"/>
        </w:rPr>
        <w:t> </w:t>
      </w:r>
      <w:r>
        <w:rPr/>
        <w:t>cooperation with one another and willingness to work together and to work with the community.</w:t>
      </w:r>
      <w:r>
        <w:rPr>
          <w:spacing w:val="1"/>
        </w:rPr>
        <w:t> </w:t>
      </w:r>
      <w:r>
        <w:rPr/>
        <w:t>All of this is progress. The Evidence2Success framework classifies system outputs as short-term</w:t>
      </w:r>
      <w:r>
        <w:rPr>
          <w:spacing w:val="-50"/>
        </w:rPr>
        <w:t> </w:t>
      </w:r>
      <w:r>
        <w:rPr/>
        <w:t>(appearing in one to two years) and intermediate-term (appearing in the second year and</w:t>
      </w:r>
      <w:r>
        <w:rPr>
          <w:spacing w:val="1"/>
        </w:rPr>
        <w:t> </w:t>
      </w:r>
      <w:r>
        <w:rPr/>
        <w:t>beyond). These are listed in the table below. You should discuss those that have become</w:t>
      </w:r>
      <w:r>
        <w:rPr>
          <w:spacing w:val="1"/>
        </w:rPr>
        <w:t> </w:t>
      </w:r>
      <w:r>
        <w:rPr/>
        <w:t>evident.</w:t>
      </w: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98"/>
      </w:tblGrid>
      <w:tr>
        <w:trPr>
          <w:trHeight w:val="473" w:hRule="atLeast"/>
        </w:trPr>
        <w:tc>
          <w:tcPr>
            <w:tcW w:w="8198" w:type="dxa"/>
          </w:tcPr>
          <w:p>
            <w:pPr>
              <w:pStyle w:val="TableParagraph"/>
              <w:spacing w:before="63"/>
              <w:ind w:left="10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System</w:t>
            </w:r>
            <w:r>
              <w:rPr>
                <w:rFonts w:ascii="Arial"/>
                <w:b/>
                <w:spacing w:val="-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Outputs</w:t>
            </w:r>
            <w:r>
              <w:rPr>
                <w:rFonts w:ascii="Arial"/>
                <w:b/>
                <w:spacing w:val="-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Indicating</w:t>
            </w:r>
            <w:r>
              <w:rPr>
                <w:rFonts w:ascii="Arial"/>
                <w:b/>
                <w:spacing w:val="-2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Culture</w:t>
            </w:r>
            <w:r>
              <w:rPr>
                <w:rFonts w:ascii="Arial"/>
                <w:b/>
                <w:spacing w:val="-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Change</w:t>
            </w:r>
            <w:r>
              <w:rPr>
                <w:rFonts w:ascii="Arial"/>
                <w:b/>
                <w:spacing w:val="-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Possibly</w:t>
            </w:r>
            <w:r>
              <w:rPr>
                <w:rFonts w:ascii="Arial"/>
                <w:b/>
                <w:spacing w:val="-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Arising</w:t>
            </w:r>
            <w:r>
              <w:rPr>
                <w:rFonts w:ascii="Arial"/>
                <w:b/>
                <w:spacing w:val="-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from</w:t>
            </w:r>
            <w:r>
              <w:rPr>
                <w:rFonts w:ascii="Arial"/>
                <w:b/>
                <w:spacing w:val="-6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Evidence2Success</w:t>
            </w:r>
          </w:p>
        </w:tc>
      </w:tr>
      <w:tr>
        <w:trPr>
          <w:trHeight w:val="2146" w:hRule="atLeast"/>
        </w:trPr>
        <w:tc>
          <w:tcPr>
            <w:tcW w:w="8198" w:type="dxa"/>
          </w:tcPr>
          <w:p>
            <w:pPr>
              <w:pStyle w:val="TableParagraph"/>
              <w:spacing w:before="61"/>
              <w:ind w:left="107"/>
              <w:rPr>
                <w:sz w:val="19"/>
              </w:rPr>
            </w:pPr>
            <w:r>
              <w:rPr>
                <w:sz w:val="19"/>
              </w:rPr>
              <w:t>In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short term:</w:t>
            </w:r>
          </w:p>
          <w:p>
            <w:pPr>
              <w:pStyle w:val="TableParagraph"/>
              <w:spacing w:before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19"/>
              </w:rPr>
            </w:pPr>
            <w:r>
              <w:rPr>
                <w:sz w:val="19"/>
              </w:rPr>
              <w:t>Increased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capacities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key areas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68" w:after="0"/>
              <w:ind w:left="827" w:right="0" w:hanging="361"/>
              <w:jc w:val="left"/>
              <w:rPr>
                <w:sz w:val="19"/>
              </w:rPr>
            </w:pPr>
            <w:r>
              <w:rPr>
                <w:sz w:val="19"/>
              </w:rPr>
              <w:t>Changes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policy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practice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67" w:after="0"/>
              <w:ind w:left="827" w:right="0" w:hanging="361"/>
              <w:jc w:val="left"/>
              <w:rPr>
                <w:sz w:val="19"/>
              </w:rPr>
            </w:pPr>
            <w:r>
              <w:rPr>
                <w:sz w:val="19"/>
              </w:rPr>
              <w:t>Joint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decision making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67" w:after="0"/>
              <w:ind w:left="827" w:right="0" w:hanging="361"/>
              <w:jc w:val="left"/>
              <w:rPr>
                <w:sz w:val="19"/>
              </w:rPr>
            </w:pPr>
            <w:r>
              <w:rPr>
                <w:sz w:val="19"/>
              </w:rPr>
              <w:t>Increased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support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prevention and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tested,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effective programs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67" w:after="0"/>
              <w:ind w:left="827" w:right="0" w:hanging="361"/>
              <w:jc w:val="left"/>
              <w:rPr>
                <w:sz w:val="19"/>
              </w:rPr>
            </w:pPr>
            <w:r>
              <w:rPr>
                <w:sz w:val="19"/>
              </w:rPr>
              <w:t>Designated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funding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tested,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effective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programs</w:t>
            </w:r>
          </w:p>
        </w:tc>
      </w:tr>
      <w:tr>
        <w:trPr>
          <w:trHeight w:val="1546" w:hRule="atLeast"/>
        </w:trPr>
        <w:tc>
          <w:tcPr>
            <w:tcW w:w="8198" w:type="dxa"/>
          </w:tcPr>
          <w:p>
            <w:pPr>
              <w:pStyle w:val="TableParagraph"/>
              <w:spacing w:before="61"/>
              <w:ind w:left="107"/>
              <w:rPr>
                <w:sz w:val="19"/>
              </w:rPr>
            </w:pPr>
            <w:r>
              <w:rPr>
                <w:sz w:val="19"/>
              </w:rPr>
              <w:t>In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intermediate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term:</w:t>
            </w:r>
          </w:p>
          <w:p>
            <w:pPr>
              <w:pStyle w:val="TableParagraph"/>
              <w:spacing w:before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19"/>
              </w:rPr>
            </w:pPr>
            <w:r>
              <w:rPr>
                <w:sz w:val="19"/>
              </w:rPr>
              <w:t>Shared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accountability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40" w:lineRule="auto" w:before="68" w:after="0"/>
              <w:ind w:left="827" w:right="0" w:hanging="361"/>
              <w:jc w:val="left"/>
              <w:rPr>
                <w:sz w:val="19"/>
              </w:rPr>
            </w:pPr>
            <w:r>
              <w:rPr>
                <w:sz w:val="19"/>
              </w:rPr>
              <w:t>Increased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investment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tested,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effective programs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40" w:lineRule="auto" w:before="67" w:after="0"/>
              <w:ind w:left="827" w:right="0" w:hanging="361"/>
              <w:jc w:val="left"/>
              <w:rPr>
                <w:sz w:val="19"/>
              </w:rPr>
            </w:pPr>
            <w:r>
              <w:rPr>
                <w:sz w:val="19"/>
              </w:rPr>
              <w:t>Greater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availability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tested,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effective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programs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Evidence2Success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328" w:lineRule="auto"/>
        <w:ind w:left="876" w:right="1410"/>
      </w:pPr>
      <w:r>
        <w:rPr/>
        <w:t>The example plan from Providence also discusses related work that the participating public</w:t>
      </w:r>
      <w:r>
        <w:rPr>
          <w:spacing w:val="1"/>
        </w:rPr>
        <w:t> </w:t>
      </w:r>
      <w:r>
        <w:rPr/>
        <w:t>agencies</w:t>
      </w:r>
      <w:r>
        <w:rPr>
          <w:spacing w:val="-1"/>
        </w:rPr>
        <w:t> </w:t>
      </w:r>
      <w:r>
        <w:rPr/>
        <w:t>have undertaken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same goals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Evidence2Success.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you are</w:t>
      </w:r>
      <w:r>
        <w:rPr>
          <w:spacing w:val="-1"/>
        </w:rPr>
        <w:t> </w:t>
      </w:r>
      <w:r>
        <w:rPr/>
        <w:t>using</w:t>
      </w:r>
      <w:r>
        <w:rPr>
          <w:spacing w:val="-49"/>
        </w:rPr>
        <w:t> </w:t>
      </w:r>
      <w:r>
        <w:rPr/>
        <w:t>this</w:t>
      </w:r>
      <w:r>
        <w:rPr>
          <w:spacing w:val="-1"/>
        </w:rPr>
        <w:t> </w:t>
      </w:r>
      <w:r>
        <w:rPr/>
        <w:t>document to</w:t>
      </w:r>
      <w:r>
        <w:rPr>
          <w:spacing w:val="-1"/>
        </w:rPr>
        <w:t> </w:t>
      </w:r>
      <w:r>
        <w:rPr/>
        <w:t>build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case for</w:t>
      </w:r>
      <w:r>
        <w:rPr>
          <w:spacing w:val="-1"/>
        </w:rPr>
        <w:t> </w:t>
      </w:r>
      <w:r>
        <w:rPr/>
        <w:t>funding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state legislature,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sort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information can</w:t>
      </w:r>
      <w:r>
        <w:rPr>
          <w:spacing w:val="-50"/>
        </w:rPr>
        <w:t> </w:t>
      </w:r>
      <w:r>
        <w:rPr/>
        <w:t>buttress</w:t>
      </w:r>
      <w:r>
        <w:rPr>
          <w:spacing w:val="-1"/>
        </w:rPr>
        <w:t> </w:t>
      </w:r>
      <w:r>
        <w:rPr/>
        <w:t>your case.</w:t>
      </w:r>
    </w:p>
    <w:p>
      <w:pPr>
        <w:spacing w:after="0" w:line="328" w:lineRule="auto"/>
        <w:sectPr>
          <w:pgSz w:w="12240" w:h="15840"/>
          <w:pgMar w:header="0" w:footer="867" w:top="1500" w:bottom="1060" w:left="114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Heading1"/>
      </w:pPr>
      <w:r>
        <w:rPr>
          <w:color w:val="DA5521"/>
        </w:rPr>
        <w:t>Data</w:t>
      </w:r>
      <w:r>
        <w:rPr>
          <w:color w:val="DA5521"/>
          <w:spacing w:val="-4"/>
        </w:rPr>
        <w:t> </w:t>
      </w:r>
      <w:r>
        <w:rPr>
          <w:color w:val="DA5521"/>
        </w:rPr>
        <w:t>Portrait</w:t>
      </w:r>
      <w:r>
        <w:rPr>
          <w:color w:val="DA5521"/>
          <w:spacing w:val="-4"/>
        </w:rPr>
        <w:t> </w:t>
      </w:r>
      <w:r>
        <w:rPr>
          <w:color w:val="DA5521"/>
        </w:rPr>
        <w:t>(See</w:t>
      </w:r>
      <w:r>
        <w:rPr>
          <w:color w:val="DA5521"/>
          <w:spacing w:val="-4"/>
        </w:rPr>
        <w:t> </w:t>
      </w:r>
      <w:r>
        <w:rPr>
          <w:color w:val="DA5521"/>
        </w:rPr>
        <w:t>pages</w:t>
      </w:r>
      <w:r>
        <w:rPr>
          <w:color w:val="DA5521"/>
          <w:spacing w:val="-4"/>
        </w:rPr>
        <w:t> </w:t>
      </w:r>
      <w:r>
        <w:rPr>
          <w:color w:val="DA5521"/>
        </w:rPr>
        <w:t>10–16</w:t>
      </w:r>
      <w:r>
        <w:rPr>
          <w:color w:val="DA5521"/>
          <w:spacing w:val="-2"/>
        </w:rPr>
        <w:t> </w:t>
      </w:r>
      <w:r>
        <w:rPr>
          <w:color w:val="DA5521"/>
        </w:rPr>
        <w:t>of</w:t>
      </w:r>
      <w:r>
        <w:rPr>
          <w:color w:val="DA5521"/>
          <w:spacing w:val="-4"/>
        </w:rPr>
        <w:t> </w:t>
      </w:r>
      <w:r>
        <w:rPr>
          <w:color w:val="DA5521"/>
        </w:rPr>
        <w:t>the</w:t>
      </w:r>
      <w:r>
        <w:rPr>
          <w:color w:val="DA5521"/>
          <w:spacing w:val="-4"/>
        </w:rPr>
        <w:t> </w:t>
      </w:r>
      <w:r>
        <w:rPr>
          <w:color w:val="DA5521"/>
        </w:rPr>
        <w:t>sample</w:t>
      </w:r>
      <w:r>
        <w:rPr>
          <w:color w:val="DA5521"/>
          <w:spacing w:val="-4"/>
        </w:rPr>
        <w:t> </w:t>
      </w:r>
      <w:r>
        <w:rPr>
          <w:color w:val="DA5521"/>
        </w:rPr>
        <w:t>action</w:t>
      </w:r>
      <w:r>
        <w:rPr>
          <w:color w:val="DA5521"/>
          <w:spacing w:val="-4"/>
        </w:rPr>
        <w:t> </w:t>
      </w:r>
      <w:r>
        <w:rPr>
          <w:color w:val="DA5521"/>
        </w:rPr>
        <w:t>plan)</w:t>
      </w:r>
    </w:p>
    <w:p>
      <w:pPr>
        <w:pStyle w:val="BodyText"/>
        <w:spacing w:line="328" w:lineRule="auto" w:before="240"/>
        <w:ind w:left="876" w:right="1230"/>
      </w:pPr>
      <w:r>
        <w:rPr/>
        <w:t>The next section is devoted to showing how the community board arrived at its priorities. Charts</w:t>
      </w:r>
      <w:r>
        <w:rPr>
          <w:spacing w:val="1"/>
        </w:rPr>
        <w:t> </w:t>
      </w:r>
      <w:r>
        <w:rPr/>
        <w:t>from the YES data report provide a visual explanation. But the choice of priorities is not simply</w:t>
      </w:r>
      <w:r>
        <w:rPr>
          <w:spacing w:val="1"/>
        </w:rPr>
        <w:t> </w:t>
      </w:r>
      <w:r>
        <w:rPr/>
        <w:t>about elevated or depressed indicators in the charts. It also requires an interpretation of the data</w:t>
      </w:r>
      <w:r>
        <w:rPr>
          <w:spacing w:val="1"/>
        </w:rPr>
        <w:t> </w:t>
      </w:r>
      <w:r>
        <w:rPr/>
        <w:t>through the lens of the community. This section is a good place for noting how economic,</w:t>
      </w:r>
      <w:r>
        <w:rPr>
          <w:spacing w:val="1"/>
        </w:rPr>
        <w:t> </w:t>
      </w:r>
      <w:r>
        <w:rPr/>
        <w:t>educational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disparities</w:t>
      </w:r>
      <w:r>
        <w:rPr>
          <w:spacing w:val="-1"/>
        </w:rPr>
        <w:t> </w:t>
      </w:r>
      <w:r>
        <w:rPr/>
        <w:t>affect</w:t>
      </w:r>
      <w:r>
        <w:rPr>
          <w:spacing w:val="-1"/>
        </w:rPr>
        <w:t> </w:t>
      </w:r>
      <w:r>
        <w:rPr/>
        <w:t>youth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explaining</w:t>
      </w:r>
      <w:r>
        <w:rPr>
          <w:spacing w:val="1"/>
        </w:rPr>
        <w:t> </w:t>
      </w:r>
      <w:r>
        <w:rPr/>
        <w:t>how</w:t>
      </w:r>
      <w:r>
        <w:rPr>
          <w:spacing w:val="-2"/>
        </w:rPr>
        <w:t> </w:t>
      </w:r>
      <w:r>
        <w:rPr/>
        <w:t>Evidence2Success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intended</w:t>
      </w:r>
      <w:r>
        <w:rPr>
          <w:spacing w:val="-50"/>
        </w:rPr>
        <w:t> </w:t>
      </w:r>
      <w:r>
        <w:rPr/>
        <w:t>to address those disparities. At the time the Providence report was written, widespread</w:t>
      </w:r>
      <w:r>
        <w:rPr>
          <w:spacing w:val="1"/>
        </w:rPr>
        <w:t> </w:t>
      </w:r>
      <w:r>
        <w:rPr/>
        <w:t>discussions were taking place about disparities in that city..</w:t>
      </w:r>
    </w:p>
    <w:p>
      <w:pPr>
        <w:pStyle w:val="BodyText"/>
        <w:spacing w:line="328" w:lineRule="auto" w:before="177"/>
        <w:ind w:left="875" w:right="1374"/>
      </w:pPr>
      <w:r>
        <w:rPr/>
        <w:t>If your YES data reveal striking differences from the rest of the community’s youth — say, by</w:t>
      </w:r>
      <w:r>
        <w:rPr>
          <w:spacing w:val="1"/>
        </w:rPr>
        <w:t> </w:t>
      </w:r>
      <w:r>
        <w:rPr/>
        <w:t>grade, race, ethnicity or gender — that have prompted particular programming choices, you will</w:t>
      </w:r>
      <w:r>
        <w:rPr>
          <w:spacing w:val="-50"/>
        </w:rPr>
        <w:t> </w:t>
      </w:r>
      <w:r>
        <w:rPr/>
        <w:t>want to explain this in your action plan, including the relevant data. Take care to avoid</w:t>
      </w:r>
      <w:r>
        <w:rPr>
          <w:spacing w:val="1"/>
        </w:rPr>
        <w:t> </w:t>
      </w:r>
      <w:r>
        <w:rPr/>
        <w:t>stigmatizing</w:t>
      </w:r>
      <w:r>
        <w:rPr>
          <w:spacing w:val="-2"/>
        </w:rPr>
        <w:t> </w:t>
      </w:r>
      <w:r>
        <w:rPr/>
        <w:t>anyone.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sure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share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draft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 large,</w:t>
      </w:r>
      <w:r>
        <w:rPr>
          <w:spacing w:val="-1"/>
        </w:rPr>
        <w:t> </w:t>
      </w:r>
      <w:r>
        <w:rPr/>
        <w:t>diverse</w:t>
      </w:r>
      <w:r>
        <w:rPr>
          <w:spacing w:val="-1"/>
        </w:rPr>
        <w:t> </w:t>
      </w:r>
      <w:r>
        <w:rPr/>
        <w:t>group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reviewers</w:t>
      </w:r>
      <w:r>
        <w:rPr>
          <w:spacing w:val="-1"/>
        </w:rPr>
        <w:t> </w:t>
      </w:r>
      <w:r>
        <w:rPr/>
        <w:t>before</w:t>
      </w:r>
      <w:r>
        <w:rPr>
          <w:spacing w:val="-1"/>
        </w:rPr>
        <w:t> </w:t>
      </w:r>
      <w:r>
        <w:rPr/>
        <w:t>it</w:t>
      </w:r>
      <w:r>
        <w:rPr>
          <w:spacing w:val="-50"/>
        </w:rPr>
        <w:t> </w:t>
      </w:r>
      <w:r>
        <w:rPr/>
        <w:t>is</w:t>
      </w:r>
      <w:r>
        <w:rPr>
          <w:spacing w:val="-2"/>
        </w:rPr>
        <w:t> </w:t>
      </w:r>
      <w:r>
        <w:rPr/>
        <w:t>final.</w:t>
      </w:r>
    </w:p>
    <w:p>
      <w:pPr>
        <w:pStyle w:val="BodyText"/>
        <w:spacing w:line="328" w:lineRule="auto" w:before="177"/>
        <w:ind w:left="875" w:right="1345"/>
      </w:pPr>
      <w:r>
        <w:rPr/>
        <w:t>Some Evidence2Success communities administer a second survey, the Childhood Experience</w:t>
      </w:r>
      <w:r>
        <w:rPr>
          <w:spacing w:val="1"/>
        </w:rPr>
        <w:t> </w:t>
      </w:r>
      <w:r>
        <w:rPr/>
        <w:t>Survey (ChES). If your community has ChES data, you should include it here if it was part of the</w:t>
      </w:r>
      <w:r>
        <w:rPr>
          <w:spacing w:val="-51"/>
        </w:rPr>
        <w:t> </w:t>
      </w:r>
      <w:r>
        <w:rPr/>
        <w:t>priority-setting</w:t>
      </w:r>
      <w:r>
        <w:rPr>
          <w:spacing w:val="-1"/>
        </w:rPr>
        <w:t> </w:t>
      </w:r>
      <w:r>
        <w:rPr/>
        <w:t>process or if it supports the YES data.</w:t>
      </w:r>
    </w:p>
    <w:p>
      <w:pPr>
        <w:pStyle w:val="BodyText"/>
        <w:spacing w:before="176"/>
        <w:ind w:left="875"/>
      </w:pPr>
      <w:r>
        <w:rPr/>
        <w:t>Include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link or</w:t>
      </w:r>
      <w:r>
        <w:rPr>
          <w:spacing w:val="-1"/>
        </w:rPr>
        <w:t> </w:t>
      </w:r>
      <w:r>
        <w:rPr/>
        <w:t>reference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YES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community.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1"/>
        <w:spacing w:before="1"/>
        <w:ind w:right="1196"/>
      </w:pPr>
      <w:r>
        <w:rPr>
          <w:color w:val="DA5521"/>
        </w:rPr>
        <w:t>About</w:t>
      </w:r>
      <w:r>
        <w:rPr>
          <w:color w:val="DA5521"/>
          <w:spacing w:val="-3"/>
        </w:rPr>
        <w:t> </w:t>
      </w:r>
      <w:r>
        <w:rPr>
          <w:color w:val="DA5521"/>
        </w:rPr>
        <w:t>the</w:t>
      </w:r>
      <w:r>
        <w:rPr>
          <w:color w:val="DA5521"/>
          <w:spacing w:val="-4"/>
        </w:rPr>
        <w:t> </w:t>
      </w:r>
      <w:r>
        <w:rPr>
          <w:color w:val="DA5521"/>
        </w:rPr>
        <w:t>Programs</w:t>
      </w:r>
      <w:r>
        <w:rPr>
          <w:color w:val="DA5521"/>
          <w:spacing w:val="-4"/>
        </w:rPr>
        <w:t> </w:t>
      </w:r>
      <w:r>
        <w:rPr>
          <w:color w:val="DA5521"/>
        </w:rPr>
        <w:t>Selected</w:t>
      </w:r>
      <w:r>
        <w:rPr>
          <w:color w:val="DA5521"/>
          <w:spacing w:val="-2"/>
        </w:rPr>
        <w:t> </w:t>
      </w:r>
      <w:r>
        <w:rPr>
          <w:color w:val="DA5521"/>
        </w:rPr>
        <w:t>for</w:t>
      </w:r>
      <w:r>
        <w:rPr>
          <w:color w:val="DA5521"/>
          <w:spacing w:val="-2"/>
        </w:rPr>
        <w:t> </w:t>
      </w:r>
      <w:r>
        <w:rPr>
          <w:color w:val="DA5521"/>
        </w:rPr>
        <w:t>Implementation</w:t>
      </w:r>
      <w:r>
        <w:rPr>
          <w:color w:val="DA5521"/>
          <w:spacing w:val="-3"/>
        </w:rPr>
        <w:t> </w:t>
      </w:r>
      <w:r>
        <w:rPr>
          <w:color w:val="DA5521"/>
        </w:rPr>
        <w:t>(See</w:t>
      </w:r>
      <w:r>
        <w:rPr>
          <w:color w:val="DA5521"/>
          <w:spacing w:val="-3"/>
        </w:rPr>
        <w:t> </w:t>
      </w:r>
      <w:r>
        <w:rPr>
          <w:color w:val="DA5521"/>
        </w:rPr>
        <w:t>pages</w:t>
      </w:r>
      <w:r>
        <w:rPr>
          <w:color w:val="DA5521"/>
          <w:spacing w:val="-3"/>
        </w:rPr>
        <w:t> </w:t>
      </w:r>
      <w:r>
        <w:rPr>
          <w:color w:val="DA5521"/>
        </w:rPr>
        <w:t>16–20</w:t>
      </w:r>
      <w:r>
        <w:rPr>
          <w:color w:val="DA5521"/>
          <w:spacing w:val="-1"/>
        </w:rPr>
        <w:t> </w:t>
      </w:r>
      <w:r>
        <w:rPr>
          <w:color w:val="DA5521"/>
        </w:rPr>
        <w:t>of</w:t>
      </w:r>
      <w:r>
        <w:rPr>
          <w:color w:val="DA5521"/>
          <w:spacing w:val="-69"/>
        </w:rPr>
        <w:t> </w:t>
      </w:r>
      <w:r>
        <w:rPr>
          <w:color w:val="DA5521"/>
        </w:rPr>
        <w:t>the</w:t>
      </w:r>
      <w:r>
        <w:rPr>
          <w:color w:val="DA5521"/>
          <w:spacing w:val="-1"/>
        </w:rPr>
        <w:t> </w:t>
      </w:r>
      <w:r>
        <w:rPr>
          <w:color w:val="DA5521"/>
        </w:rPr>
        <w:t>sample action plan)</w:t>
      </w:r>
    </w:p>
    <w:p>
      <w:pPr>
        <w:pStyle w:val="BodyText"/>
        <w:spacing w:line="328" w:lineRule="auto" w:before="240"/>
        <w:ind w:left="876" w:right="1315"/>
      </w:pPr>
      <w:r>
        <w:rPr/>
        <w:t>This section is for explaining the choice of programs to address the priorities and to describe the</w:t>
      </w:r>
      <w:r>
        <w:rPr>
          <w:spacing w:val="-51"/>
        </w:rPr>
        <w:t> </w:t>
      </w:r>
      <w:r>
        <w:rPr/>
        <w:t>programs.</w:t>
      </w:r>
      <w:r>
        <w:rPr>
          <w:spacing w:val="-1"/>
        </w:rPr>
        <w:t> </w:t>
      </w:r>
      <w:r>
        <w:rPr/>
        <w:t>We recommend doing this</w:t>
      </w:r>
      <w:r>
        <w:rPr>
          <w:spacing w:val="-1"/>
        </w:rPr>
        <w:t> </w:t>
      </w:r>
      <w:r>
        <w:rPr/>
        <w:t>in table form, with</w:t>
      </w:r>
      <w:r>
        <w:rPr>
          <w:spacing w:val="1"/>
        </w:rPr>
        <w:t> </w:t>
      </w:r>
      <w:r>
        <w:rPr/>
        <w:t>columns</w:t>
      </w:r>
      <w:r>
        <w:rPr>
          <w:spacing w:val="-1"/>
        </w:rPr>
        <w:t> </w:t>
      </w:r>
      <w:r>
        <w:rPr/>
        <w:t>for:</w:t>
      </w:r>
    </w:p>
    <w:p>
      <w:pPr>
        <w:pStyle w:val="ListParagraph"/>
        <w:numPr>
          <w:ilvl w:val="1"/>
          <w:numId w:val="1"/>
        </w:numPr>
        <w:tabs>
          <w:tab w:pos="1595" w:val="left" w:leader="none"/>
          <w:tab w:pos="1597" w:val="left" w:leader="none"/>
        </w:tabs>
        <w:spacing w:line="240" w:lineRule="auto" w:before="162" w:after="0"/>
        <w:ind w:left="1596" w:right="0" w:hanging="361"/>
        <w:jc w:val="left"/>
        <w:rPr>
          <w:sz w:val="19"/>
        </w:rPr>
      </w:pPr>
      <w:r>
        <w:rPr>
          <w:sz w:val="19"/>
        </w:rPr>
        <w:t>the</w:t>
      </w:r>
      <w:r>
        <w:rPr>
          <w:spacing w:val="-1"/>
          <w:sz w:val="19"/>
        </w:rPr>
        <w:t> </w:t>
      </w:r>
      <w:r>
        <w:rPr>
          <w:sz w:val="19"/>
        </w:rPr>
        <w:t>name</w:t>
      </w:r>
      <w:r>
        <w:rPr>
          <w:spacing w:val="-1"/>
          <w:sz w:val="19"/>
        </w:rPr>
        <w:t> </w:t>
      </w:r>
      <w:r>
        <w:rPr>
          <w:sz w:val="19"/>
        </w:rPr>
        <w:t>of</w:t>
      </w:r>
      <w:r>
        <w:rPr>
          <w:spacing w:val="-1"/>
          <w:sz w:val="19"/>
        </w:rPr>
        <w:t> </w:t>
      </w:r>
      <w:r>
        <w:rPr>
          <w:sz w:val="19"/>
        </w:rPr>
        <w:t>the</w:t>
      </w:r>
      <w:r>
        <w:rPr>
          <w:spacing w:val="-1"/>
          <w:sz w:val="19"/>
        </w:rPr>
        <w:t> </w:t>
      </w:r>
      <w:r>
        <w:rPr>
          <w:sz w:val="19"/>
        </w:rPr>
        <w:t>program;</w:t>
      </w:r>
    </w:p>
    <w:p>
      <w:pPr>
        <w:pStyle w:val="ListParagraph"/>
        <w:numPr>
          <w:ilvl w:val="1"/>
          <w:numId w:val="1"/>
        </w:numPr>
        <w:tabs>
          <w:tab w:pos="1595" w:val="left" w:leader="none"/>
          <w:tab w:pos="1597" w:val="left" w:leader="none"/>
        </w:tabs>
        <w:spacing w:line="240" w:lineRule="auto" w:before="67" w:after="0"/>
        <w:ind w:left="1596" w:right="0" w:hanging="361"/>
        <w:jc w:val="left"/>
        <w:rPr>
          <w:sz w:val="19"/>
        </w:rPr>
      </w:pP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description of</w:t>
      </w:r>
      <w:r>
        <w:rPr>
          <w:spacing w:val="-1"/>
          <w:sz w:val="19"/>
        </w:rPr>
        <w:t> </w:t>
      </w:r>
      <w:r>
        <w:rPr>
          <w:sz w:val="19"/>
        </w:rPr>
        <w:t>the</w:t>
      </w:r>
      <w:r>
        <w:rPr>
          <w:spacing w:val="-1"/>
          <w:sz w:val="19"/>
        </w:rPr>
        <w:t> </w:t>
      </w:r>
      <w:r>
        <w:rPr>
          <w:sz w:val="19"/>
        </w:rPr>
        <w:t>program;</w:t>
      </w:r>
    </w:p>
    <w:p>
      <w:pPr>
        <w:pStyle w:val="ListParagraph"/>
        <w:numPr>
          <w:ilvl w:val="1"/>
          <w:numId w:val="1"/>
        </w:numPr>
        <w:tabs>
          <w:tab w:pos="1595" w:val="left" w:leader="none"/>
          <w:tab w:pos="1597" w:val="left" w:leader="none"/>
        </w:tabs>
        <w:spacing w:line="240" w:lineRule="auto" w:before="67" w:after="0"/>
        <w:ind w:left="1596" w:right="0" w:hanging="361"/>
        <w:jc w:val="left"/>
        <w:rPr>
          <w:sz w:val="19"/>
        </w:rPr>
      </w:pPr>
      <w:r>
        <w:rPr>
          <w:sz w:val="19"/>
        </w:rPr>
        <w:t>the</w:t>
      </w:r>
      <w:r>
        <w:rPr>
          <w:spacing w:val="-1"/>
          <w:sz w:val="19"/>
        </w:rPr>
        <w:t> </w:t>
      </w:r>
      <w:r>
        <w:rPr>
          <w:sz w:val="19"/>
        </w:rPr>
        <w:t>risk</w:t>
      </w:r>
      <w:r>
        <w:rPr>
          <w:spacing w:val="-1"/>
          <w:sz w:val="19"/>
        </w:rPr>
        <w:t> </w:t>
      </w:r>
      <w:r>
        <w:rPr>
          <w:sz w:val="19"/>
        </w:rPr>
        <w:t>factors</w:t>
      </w:r>
      <w:r>
        <w:rPr>
          <w:spacing w:val="-1"/>
          <w:sz w:val="19"/>
        </w:rPr>
        <w:t> </w:t>
      </w:r>
      <w:r>
        <w:rPr>
          <w:sz w:val="19"/>
        </w:rPr>
        <w:t>it</w:t>
      </w:r>
      <w:r>
        <w:rPr>
          <w:spacing w:val="-1"/>
          <w:sz w:val="19"/>
        </w:rPr>
        <w:t> </w:t>
      </w:r>
      <w:r>
        <w:rPr>
          <w:sz w:val="19"/>
        </w:rPr>
        <w:t>addresses; and</w:t>
      </w:r>
    </w:p>
    <w:p>
      <w:pPr>
        <w:pStyle w:val="ListParagraph"/>
        <w:numPr>
          <w:ilvl w:val="1"/>
          <w:numId w:val="1"/>
        </w:numPr>
        <w:tabs>
          <w:tab w:pos="1595" w:val="left" w:leader="none"/>
          <w:tab w:pos="1597" w:val="left" w:leader="none"/>
        </w:tabs>
        <w:spacing w:line="240" w:lineRule="auto" w:before="67" w:after="0"/>
        <w:ind w:left="1596" w:right="0" w:hanging="361"/>
        <w:jc w:val="left"/>
        <w:rPr>
          <w:sz w:val="19"/>
        </w:rPr>
      </w:pPr>
      <w:r>
        <w:rPr>
          <w:sz w:val="19"/>
        </w:rPr>
        <w:t>the</w:t>
      </w:r>
      <w:r>
        <w:rPr>
          <w:spacing w:val="-1"/>
          <w:sz w:val="19"/>
        </w:rPr>
        <w:t> </w:t>
      </w:r>
      <w:r>
        <w:rPr>
          <w:sz w:val="19"/>
        </w:rPr>
        <w:t>risk</w:t>
      </w:r>
      <w:r>
        <w:rPr>
          <w:spacing w:val="-1"/>
          <w:sz w:val="19"/>
        </w:rPr>
        <w:t> </w:t>
      </w:r>
      <w:r>
        <w:rPr>
          <w:sz w:val="19"/>
        </w:rPr>
        <w:t>or</w:t>
      </w:r>
      <w:r>
        <w:rPr>
          <w:spacing w:val="-1"/>
          <w:sz w:val="19"/>
        </w:rPr>
        <w:t> </w:t>
      </w:r>
      <w:r>
        <w:rPr>
          <w:sz w:val="19"/>
        </w:rPr>
        <w:t>protective</w:t>
      </w:r>
      <w:r>
        <w:rPr>
          <w:spacing w:val="-1"/>
          <w:sz w:val="19"/>
        </w:rPr>
        <w:t> </w:t>
      </w:r>
      <w:r>
        <w:rPr>
          <w:sz w:val="19"/>
        </w:rPr>
        <w:t>factors</w:t>
      </w:r>
      <w:r>
        <w:rPr>
          <w:spacing w:val="-1"/>
          <w:sz w:val="19"/>
        </w:rPr>
        <w:t> </w:t>
      </w:r>
      <w:r>
        <w:rPr>
          <w:sz w:val="19"/>
        </w:rPr>
        <w:t>it</w:t>
      </w:r>
      <w:r>
        <w:rPr>
          <w:spacing w:val="-1"/>
          <w:sz w:val="19"/>
        </w:rPr>
        <w:t> </w:t>
      </w:r>
      <w:r>
        <w:rPr>
          <w:sz w:val="19"/>
        </w:rPr>
        <w:t>addresses</w:t>
      </w:r>
    </w:p>
    <w:p>
      <w:pPr>
        <w:pStyle w:val="BodyText"/>
        <w:rPr>
          <w:sz w:val="22"/>
        </w:rPr>
      </w:pPr>
    </w:p>
    <w:p>
      <w:pPr>
        <w:pStyle w:val="BodyText"/>
        <w:spacing w:line="328" w:lineRule="auto"/>
        <w:ind w:left="876" w:right="1379"/>
      </w:pPr>
      <w:r>
        <w:rPr/>
        <w:t>This is the approach used in the sample report from Providence. Most of the information is from</w:t>
      </w:r>
      <w:r>
        <w:rPr>
          <w:spacing w:val="-51"/>
        </w:rPr>
        <w:t> </w:t>
      </w:r>
      <w:r>
        <w:rPr/>
        <w:t>the Blueprints for Healthy Youth Development database (</w:t>
      </w:r>
      <w:r>
        <w:rPr>
          <w:color w:val="005293"/>
          <w:u w:val="single" w:color="005293"/>
        </w:rPr>
        <w:t>blueprintsprograms.com</w:t>
      </w:r>
      <w:r>
        <w:rPr/>
        <w:t>) and can</w:t>
      </w:r>
      <w:r>
        <w:rPr>
          <w:spacing w:val="1"/>
        </w:rPr>
        <w:t> </w:t>
      </w:r>
      <w:r>
        <w:rPr/>
        <w:t>probably be taken directly from the program information posters that were created for the</w:t>
      </w:r>
      <w:r>
        <w:rPr>
          <w:spacing w:val="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Planning Training in Phase 4.</w:t>
      </w:r>
    </w:p>
    <w:p>
      <w:pPr>
        <w:pStyle w:val="BodyText"/>
        <w:spacing w:line="328" w:lineRule="auto" w:before="177"/>
        <w:ind w:left="876" w:right="1187"/>
      </w:pPr>
      <w:r>
        <w:rPr/>
        <w:t>The Blueprints database continues to expand. Programs are being added to address risk or</w:t>
      </w:r>
      <w:r>
        <w:rPr>
          <w:spacing w:val="1"/>
        </w:rPr>
        <w:t> </w:t>
      </w:r>
      <w:r>
        <w:rPr/>
        <w:t>protective factors that may not have previously been addressed by programs with the desired</w:t>
      </w:r>
      <w:r>
        <w:rPr>
          <w:spacing w:val="1"/>
        </w:rPr>
        <w:t> </w:t>
      </w:r>
      <w:r>
        <w:rPr/>
        <w:t>level of proof behind them. Occasionally, however, a community might identify a priority that is not</w:t>
      </w:r>
      <w:r>
        <w:rPr>
          <w:spacing w:val="-51"/>
        </w:rPr>
        <w:t> </w:t>
      </w:r>
      <w:r>
        <w:rPr/>
        <w:t>addressed</w:t>
      </w:r>
      <w:r>
        <w:rPr>
          <w:spacing w:val="-1"/>
        </w:rPr>
        <w:t> </w:t>
      </w:r>
      <w:r>
        <w:rPr/>
        <w:t>by a program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Blueprints or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databases of</w:t>
      </w:r>
      <w:r>
        <w:rPr>
          <w:spacing w:val="-1"/>
        </w:rPr>
        <w:t> </w:t>
      </w:r>
      <w:r>
        <w:rPr/>
        <w:t>evidence-based programs.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this is</w:t>
      </w:r>
    </w:p>
    <w:p>
      <w:pPr>
        <w:spacing w:after="0" w:line="328" w:lineRule="auto"/>
        <w:sectPr>
          <w:pgSz w:w="12240" w:h="15840"/>
          <w:pgMar w:header="0" w:footer="867" w:top="1500" w:bottom="1060" w:left="114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28" w:lineRule="auto" w:before="1"/>
        <w:ind w:left="876" w:right="1252"/>
      </w:pPr>
      <w:r>
        <w:rPr/>
        <w:t>the case with one of your community’s priorities, you will want to describe the priority in this</w:t>
      </w:r>
      <w:r>
        <w:rPr>
          <w:spacing w:val="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explain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the community</w:t>
      </w:r>
      <w:r>
        <w:rPr>
          <w:spacing w:val="-1"/>
        </w:rPr>
        <w:t> </w:t>
      </w:r>
      <w:r>
        <w:rPr/>
        <w:t>board intends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proceed. You will</w:t>
      </w:r>
      <w:r>
        <w:rPr>
          <w:spacing w:val="-1"/>
        </w:rPr>
        <w:t> </w:t>
      </w:r>
      <w:r>
        <w:rPr/>
        <w:t>find</w:t>
      </w:r>
      <w:r>
        <w:rPr>
          <w:spacing w:val="-1"/>
        </w:rPr>
        <w:t> </w:t>
      </w:r>
      <w:r>
        <w:rPr/>
        <w:t>an example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50"/>
        </w:rPr>
        <w:t> </w:t>
      </w:r>
      <w:r>
        <w:rPr/>
        <w:t>sample</w:t>
      </w:r>
      <w:r>
        <w:rPr>
          <w:spacing w:val="-1"/>
        </w:rPr>
        <w:t> </w:t>
      </w:r>
      <w:r>
        <w:rPr/>
        <w:t>plan from</w:t>
      </w:r>
      <w:r>
        <w:rPr>
          <w:spacing w:val="-1"/>
        </w:rPr>
        <w:t> </w:t>
      </w:r>
      <w:r>
        <w:rPr/>
        <w:t>Providence in</w:t>
      </w:r>
      <w:r>
        <w:rPr>
          <w:spacing w:val="-1"/>
        </w:rPr>
        <w:t> </w:t>
      </w:r>
      <w:r>
        <w:rPr/>
        <w:t>the subsection</w:t>
      </w:r>
      <w:r>
        <w:rPr>
          <w:spacing w:val="-1"/>
        </w:rPr>
        <w:t> </w:t>
      </w:r>
      <w:r>
        <w:rPr/>
        <w:t>“A Note on Community Disorganization.”</w:t>
      </w:r>
    </w:p>
    <w:p>
      <w:pPr>
        <w:pStyle w:val="BodyText"/>
        <w:spacing w:line="328" w:lineRule="auto" w:before="174"/>
        <w:ind w:left="876" w:right="1230"/>
      </w:pPr>
      <w:r>
        <w:rPr/>
        <w:t>In addition to the priority outcomes, risk factors and protective factors, the portfolio of programs</w:t>
      </w:r>
      <w:r>
        <w:rPr>
          <w:spacing w:val="1"/>
        </w:rPr>
        <w:t> </w:t>
      </w:r>
      <w:r>
        <w:rPr/>
        <w:t>selected may be intended to address other priorities as well. These might be geographic areas or</w:t>
      </w:r>
      <w:r>
        <w:rPr>
          <w:spacing w:val="-51"/>
        </w:rPr>
        <w:t> </w:t>
      </w:r>
      <w:r>
        <w:rPr/>
        <w:t>populations of focus, such as African-American or Spanish-speaking families. Programs are also</w:t>
      </w:r>
      <w:r>
        <w:rPr>
          <w:spacing w:val="1"/>
        </w:rPr>
        <w:t> </w:t>
      </w:r>
      <w:r>
        <w:rPr/>
        <w:t>chosen to cover a range of prevention: universal, selected or indicated. We recommend including</w:t>
      </w:r>
      <w:r>
        <w:rPr>
          <w:spacing w:val="-51"/>
        </w:rPr>
        <w:t> </w:t>
      </w:r>
      <w:r>
        <w:rPr/>
        <w:t>this information in this section. The sample plan includes a breakdown showing how the types of</w:t>
      </w:r>
      <w:r>
        <w:rPr>
          <w:spacing w:val="1"/>
        </w:rPr>
        <w:t> </w:t>
      </w:r>
      <w:r>
        <w:rPr/>
        <w:t>prevention</w:t>
      </w:r>
      <w:r>
        <w:rPr>
          <w:spacing w:val="-1"/>
        </w:rPr>
        <w:t> </w:t>
      </w:r>
      <w:r>
        <w:rPr/>
        <w:t>in the portfolio are distributed across the age ranges.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24"/>
        <w:ind w:left="875" w:right="1450"/>
      </w:pPr>
      <w:r>
        <w:rPr>
          <w:color w:val="DA5521"/>
        </w:rPr>
        <w:t>The Strategic Financing Plan (See pages 20–24 of the sample action</w:t>
      </w:r>
      <w:r>
        <w:rPr>
          <w:color w:val="DA5521"/>
          <w:spacing w:val="-70"/>
        </w:rPr>
        <w:t> </w:t>
      </w:r>
      <w:r>
        <w:rPr>
          <w:color w:val="DA5521"/>
        </w:rPr>
        <w:t>plan)</w:t>
      </w:r>
    </w:p>
    <w:p>
      <w:pPr>
        <w:pStyle w:val="BodyText"/>
        <w:spacing w:line="328" w:lineRule="auto" w:before="242"/>
        <w:ind w:left="876" w:right="1196"/>
      </w:pPr>
      <w:r>
        <w:rPr/>
        <w:t>This section covers financing plans for the selected programs. The information here comes from</w:t>
      </w:r>
      <w:r>
        <w:rPr>
          <w:spacing w:val="1"/>
        </w:rPr>
        <w:t> </w:t>
      </w:r>
      <w:r>
        <w:rPr/>
        <w:t>the community’s strategic financing plan. You should describe the process of strategic financing,</w:t>
      </w:r>
      <w:r>
        <w:rPr>
          <w:spacing w:val="1"/>
        </w:rPr>
        <w:t> </w:t>
      </w:r>
      <w:r>
        <w:rPr/>
        <w:t>beginning with fund mapping and including the financing strategies that have been considered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adopted</w:t>
      </w:r>
      <w:r>
        <w:rPr>
          <w:spacing w:val="-1"/>
        </w:rPr>
        <w:t> </w:t>
      </w:r>
      <w:r>
        <w:rPr/>
        <w:t>thus</w:t>
      </w:r>
      <w:r>
        <w:rPr>
          <w:spacing w:val="-1"/>
        </w:rPr>
        <w:t> </w:t>
      </w:r>
      <w:r>
        <w:rPr/>
        <w:t>far.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separate</w:t>
      </w:r>
      <w:r>
        <w:rPr>
          <w:spacing w:val="-1"/>
        </w:rPr>
        <w:t> </w:t>
      </w:r>
      <w:r>
        <w:rPr/>
        <w:t>short-term</w:t>
      </w:r>
      <w:r>
        <w:rPr>
          <w:spacing w:val="-1"/>
        </w:rPr>
        <w:t> </w:t>
      </w:r>
      <w:r>
        <w:rPr/>
        <w:t>financing</w:t>
      </w:r>
      <w:r>
        <w:rPr>
          <w:spacing w:val="-1"/>
        </w:rPr>
        <w:t> </w:t>
      </w:r>
      <w:r>
        <w:rPr/>
        <w:t>arrangements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programming</w:t>
      </w:r>
      <w:r>
        <w:rPr>
          <w:spacing w:val="-1"/>
        </w:rPr>
        <w:t> </w:t>
      </w:r>
      <w:r>
        <w:rPr/>
        <w:t>to</w:t>
      </w:r>
      <w:r>
        <w:rPr>
          <w:spacing w:val="-50"/>
        </w:rPr>
        <w:t> </w:t>
      </w:r>
      <w:r>
        <w:rPr/>
        <w:t>be implemented within the next year from longer-term plans. As mentioned earlier, if the</w:t>
      </w:r>
      <w:r>
        <w:rPr>
          <w:spacing w:val="1"/>
        </w:rPr>
        <w:t> </w:t>
      </w:r>
      <w:r>
        <w:rPr/>
        <w:t>information is available while you are drafting your action plan, include funding that is still needed,</w:t>
      </w:r>
      <w:r>
        <w:rPr>
          <w:spacing w:val="-50"/>
        </w:rPr>
        <w:t> </w:t>
      </w:r>
      <w:r>
        <w:rPr/>
        <w:t>along with current plans and</w:t>
      </w:r>
      <w:r>
        <w:rPr>
          <w:spacing w:val="-1"/>
        </w:rPr>
        <w:t> </w:t>
      </w:r>
      <w:r>
        <w:rPr/>
        <w:t>possible strategies to address</w:t>
      </w:r>
      <w:r>
        <w:rPr>
          <w:spacing w:val="-1"/>
        </w:rPr>
        <w:t> </w:t>
      </w:r>
      <w:r>
        <w:rPr/>
        <w:t>gaps in funding.</w:t>
      </w:r>
    </w:p>
    <w:p>
      <w:pPr>
        <w:pStyle w:val="BodyText"/>
        <w:spacing w:line="328" w:lineRule="auto" w:before="178"/>
        <w:ind w:left="876" w:right="1336"/>
      </w:pPr>
      <w:r>
        <w:rPr/>
        <w:t>Scale</w:t>
      </w:r>
      <w:r>
        <w:rPr>
          <w:spacing w:val="-1"/>
        </w:rPr>
        <w:t> </w:t>
      </w:r>
      <w:r>
        <w:rPr/>
        <w:t>targets should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be indicated.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plans</w:t>
      </w:r>
      <w:r>
        <w:rPr>
          <w:spacing w:val="-1"/>
        </w:rPr>
        <w:t> </w:t>
      </w:r>
      <w:r>
        <w:rPr/>
        <w:t>should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ambitious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inspire</w:t>
      </w:r>
      <w:r>
        <w:rPr>
          <w:spacing w:val="-1"/>
        </w:rPr>
        <w:t> </w:t>
      </w:r>
      <w:r>
        <w:rPr/>
        <w:t>greater</w:t>
      </w:r>
      <w:r>
        <w:rPr>
          <w:spacing w:val="-49"/>
        </w:rPr>
        <w:t> </w:t>
      </w:r>
      <w:r>
        <w:rPr/>
        <w:t>investment</w:t>
      </w:r>
      <w:r>
        <w:rPr>
          <w:spacing w:val="-1"/>
        </w:rPr>
        <w:t> </w:t>
      </w:r>
      <w:r>
        <w:rPr/>
        <w:t>in the community’s children.</w:t>
      </w:r>
    </w:p>
    <w:p>
      <w:pPr>
        <w:pStyle w:val="BodyText"/>
        <w:spacing w:line="328" w:lineRule="auto" w:before="174"/>
        <w:ind w:left="875" w:right="1378"/>
      </w:pPr>
      <w:r>
        <w:rPr/>
        <w:t>Include a link or reference to the full strategic financing plan for readers who want concrete</w:t>
      </w:r>
      <w:r>
        <w:rPr>
          <w:spacing w:val="1"/>
        </w:rPr>
        <w:t> </w:t>
      </w:r>
      <w:r>
        <w:rPr/>
        <w:t>information or greater detail. It may be useful to state that the entire report is “incorporated by</w:t>
      </w:r>
      <w:r>
        <w:rPr>
          <w:spacing w:val="1"/>
        </w:rPr>
        <w:t> </w:t>
      </w:r>
      <w:r>
        <w:rPr/>
        <w:t>reference,” since the financing plan and the action plan are intended to work in tandem to guide</w:t>
      </w:r>
      <w:r>
        <w:rPr>
          <w:spacing w:val="-50"/>
        </w:rPr>
        <w:t> </w:t>
      </w:r>
      <w:r>
        <w:rPr/>
        <w:t>program implementation. The program implementation plan to be drafted in Phase 5 is another</w:t>
      </w:r>
      <w:r>
        <w:rPr>
          <w:spacing w:val="1"/>
        </w:rPr>
        <w:t> </w:t>
      </w:r>
      <w:r>
        <w:rPr/>
        <w:t>action</w:t>
      </w:r>
      <w:r>
        <w:rPr>
          <w:spacing w:val="-1"/>
        </w:rPr>
        <w:t> </w:t>
      </w:r>
      <w:r>
        <w:rPr/>
        <w:t>planning document.</w:t>
      </w:r>
      <w:r>
        <w:rPr>
          <w:spacing w:val="-1"/>
        </w:rPr>
        <w:t> </w:t>
      </w:r>
      <w:r>
        <w:rPr/>
        <w:t>It can be</w:t>
      </w:r>
      <w:r>
        <w:rPr>
          <w:spacing w:val="-1"/>
        </w:rPr>
        <w:t> </w:t>
      </w:r>
      <w:r>
        <w:rPr/>
        <w:t>incorporated, in</w:t>
      </w:r>
      <w:r>
        <w:rPr>
          <w:spacing w:val="-1"/>
        </w:rPr>
        <w:t> </w:t>
      </w:r>
      <w:r>
        <w:rPr/>
        <w:t>whole or part,</w:t>
      </w:r>
      <w:r>
        <w:rPr>
          <w:spacing w:val="-1"/>
        </w:rPr>
        <w:t> </w:t>
      </w:r>
      <w:r>
        <w:rPr/>
        <w:t>in the same way.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23"/>
      </w:pPr>
      <w:r>
        <w:rPr>
          <w:color w:val="DA5521"/>
        </w:rPr>
        <w:t>Conclusion</w:t>
      </w:r>
      <w:r>
        <w:rPr>
          <w:color w:val="DA5521"/>
          <w:spacing w:val="-3"/>
        </w:rPr>
        <w:t> </w:t>
      </w:r>
      <w:r>
        <w:rPr>
          <w:color w:val="DA5521"/>
        </w:rPr>
        <w:t>(See</w:t>
      </w:r>
      <w:r>
        <w:rPr>
          <w:color w:val="DA5521"/>
          <w:spacing w:val="-3"/>
        </w:rPr>
        <w:t> </w:t>
      </w:r>
      <w:r>
        <w:rPr>
          <w:color w:val="DA5521"/>
        </w:rPr>
        <w:t>page</w:t>
      </w:r>
      <w:r>
        <w:rPr>
          <w:color w:val="DA5521"/>
          <w:spacing w:val="-3"/>
        </w:rPr>
        <w:t> </w:t>
      </w:r>
      <w:r>
        <w:rPr>
          <w:color w:val="DA5521"/>
        </w:rPr>
        <w:t>24</w:t>
      </w:r>
      <w:r>
        <w:rPr>
          <w:color w:val="DA5521"/>
          <w:spacing w:val="-3"/>
        </w:rPr>
        <w:t> </w:t>
      </w:r>
      <w:r>
        <w:rPr>
          <w:color w:val="DA5521"/>
        </w:rPr>
        <w:t>of</w:t>
      </w:r>
      <w:r>
        <w:rPr>
          <w:color w:val="DA5521"/>
          <w:spacing w:val="-4"/>
        </w:rPr>
        <w:t> </w:t>
      </w:r>
      <w:r>
        <w:rPr>
          <w:color w:val="DA5521"/>
        </w:rPr>
        <w:t>the</w:t>
      </w:r>
      <w:r>
        <w:rPr>
          <w:color w:val="DA5521"/>
          <w:spacing w:val="-3"/>
        </w:rPr>
        <w:t> </w:t>
      </w:r>
      <w:r>
        <w:rPr>
          <w:color w:val="DA5521"/>
        </w:rPr>
        <w:t>sample</w:t>
      </w:r>
      <w:r>
        <w:rPr>
          <w:color w:val="DA5521"/>
          <w:spacing w:val="-4"/>
        </w:rPr>
        <w:t> </w:t>
      </w:r>
      <w:r>
        <w:rPr>
          <w:color w:val="DA5521"/>
        </w:rPr>
        <w:t>action</w:t>
      </w:r>
      <w:r>
        <w:rPr>
          <w:color w:val="DA5521"/>
          <w:spacing w:val="-4"/>
        </w:rPr>
        <w:t> </w:t>
      </w:r>
      <w:r>
        <w:rPr>
          <w:color w:val="DA5521"/>
        </w:rPr>
        <w:t>plan)</w:t>
      </w:r>
    </w:p>
    <w:p>
      <w:pPr>
        <w:pStyle w:val="BodyText"/>
        <w:spacing w:line="328" w:lineRule="auto" w:before="240"/>
        <w:ind w:left="876" w:right="1325"/>
      </w:pPr>
      <w:r>
        <w:rPr/>
        <w:t>Your conclusion should be brief and inspiring. Strive to demonstrate a concrete link between the</w:t>
      </w:r>
      <w:r>
        <w:rPr>
          <w:spacing w:val="-51"/>
        </w:rPr>
        <w:t> </w:t>
      </w:r>
      <w:r>
        <w:rPr/>
        <w:t>Evidence2Success framework and the vision of healthy development for all your community’s</w:t>
      </w:r>
      <w:r>
        <w:rPr>
          <w:spacing w:val="1"/>
        </w:rPr>
        <w:t> </w:t>
      </w:r>
      <w:r>
        <w:rPr/>
        <w:t>children.</w:t>
      </w:r>
    </w:p>
    <w:p>
      <w:pPr>
        <w:spacing w:after="0" w:line="328" w:lineRule="auto"/>
        <w:sectPr>
          <w:pgSz w:w="12240" w:h="15840"/>
          <w:pgMar w:header="0" w:footer="867" w:top="1500" w:bottom="1060" w:left="114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Heading1"/>
      </w:pPr>
      <w:r>
        <w:rPr>
          <w:color w:val="DA5521"/>
        </w:rPr>
        <w:t>Pull</w:t>
      </w:r>
      <w:r>
        <w:rPr>
          <w:color w:val="DA5521"/>
          <w:spacing w:val="-5"/>
        </w:rPr>
        <w:t> </w:t>
      </w:r>
      <w:r>
        <w:rPr>
          <w:color w:val="DA5521"/>
        </w:rPr>
        <w:t>Quotes</w:t>
      </w:r>
    </w:p>
    <w:p>
      <w:pPr>
        <w:pStyle w:val="BodyText"/>
        <w:spacing w:line="328" w:lineRule="auto" w:before="240"/>
        <w:ind w:left="876" w:right="1388"/>
      </w:pPr>
      <w:r>
        <w:rPr/>
        <w:t>Quotes from participants in the process — especially neighborhood representatives — can be</w:t>
      </w:r>
      <w:r>
        <w:rPr>
          <w:spacing w:val="1"/>
        </w:rPr>
        <w:t> </w:t>
      </w:r>
      <w:r>
        <w:rPr/>
        <w:t>very</w:t>
      </w:r>
      <w:r>
        <w:rPr>
          <w:spacing w:val="-1"/>
        </w:rPr>
        <w:t> </w:t>
      </w:r>
      <w:r>
        <w:rPr/>
        <w:t>persuasive.</w:t>
      </w:r>
      <w:r>
        <w:rPr>
          <w:spacing w:val="-1"/>
        </w:rPr>
        <w:t> </w:t>
      </w:r>
      <w:r>
        <w:rPr/>
        <w:t>Choose</w:t>
      </w:r>
      <w:r>
        <w:rPr>
          <w:spacing w:val="-1"/>
        </w:rPr>
        <w:t> </w:t>
      </w:r>
      <w:r>
        <w:rPr/>
        <w:t>them</w:t>
      </w:r>
      <w:r>
        <w:rPr>
          <w:spacing w:val="-1"/>
        </w:rPr>
        <w:t> </w:t>
      </w:r>
      <w:r>
        <w:rPr/>
        <w:t>judiciously, however.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too</w:t>
      </w:r>
      <w:r>
        <w:rPr>
          <w:spacing w:val="-1"/>
        </w:rPr>
        <w:t> </w:t>
      </w:r>
      <w:r>
        <w:rPr/>
        <w:t>many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</w:t>
      </w:r>
      <w:r>
        <w:rPr/>
        <w:t>included,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become</w:t>
      </w:r>
      <w:r>
        <w:rPr>
          <w:spacing w:val="-50"/>
        </w:rPr>
        <w:t> </w:t>
      </w:r>
      <w:r>
        <w:rPr/>
        <w:t>distracting.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22"/>
      </w:pPr>
      <w:r>
        <w:rPr>
          <w:color w:val="DA5521"/>
        </w:rPr>
        <w:t>Appendix</w:t>
      </w:r>
    </w:p>
    <w:p>
      <w:pPr>
        <w:pStyle w:val="BodyText"/>
        <w:spacing w:line="328" w:lineRule="auto" w:before="241"/>
        <w:ind w:left="876" w:right="1209"/>
      </w:pPr>
      <w:r>
        <w:rPr/>
        <w:t>In your appendix, include other information your readers might want, such as data tables from the</w:t>
      </w:r>
      <w:r>
        <w:rPr>
          <w:spacing w:val="-51"/>
        </w:rPr>
        <w:t> </w:t>
      </w:r>
      <w:r>
        <w:rPr/>
        <w:t>YES report. You can include greater detail here than you did in the body of the plan. This might</w:t>
      </w:r>
      <w:r>
        <w:rPr>
          <w:spacing w:val="1"/>
        </w:rPr>
        <w:t> </w:t>
      </w:r>
      <w:r>
        <w:rPr/>
        <w:t>consist</w:t>
      </w:r>
      <w:r>
        <w:rPr>
          <w:spacing w:val="-1"/>
        </w:rPr>
        <w:t> </w:t>
      </w:r>
      <w:r>
        <w:rPr/>
        <w:t>of data</w:t>
      </w:r>
      <w:r>
        <w:rPr>
          <w:spacing w:val="1"/>
        </w:rPr>
        <w:t> </w:t>
      </w:r>
      <w:r>
        <w:rPr/>
        <w:t>from the partner neighborhoods.</w:t>
      </w:r>
    </w:p>
    <w:sectPr>
      <w:pgSz w:w="12240" w:h="15840"/>
      <w:pgMar w:header="0" w:footer="867" w:top="1500" w:bottom="1060" w:left="11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2.780090pt;margin-top:737.635742pt;width:6.45pt;height:10.95pt;mso-position-horizontal-relative:page;mso-position-vertical-relative:page;z-index:-158842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585858"/>
                    <w:w w:val="99"/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2.779999pt;margin-top:713.935791pt;width:6.45pt;height:10.95pt;mso-position-horizontal-relative:page;mso-position-vertical-relative:page;z-index:-158837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585858"/>
                    <w:w w:val="99"/>
                    <w:sz w:val="16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780090pt;margin-top:737.635742pt;width:10.45pt;height:10.95pt;mso-position-horizontal-relative:page;mso-position-vertical-relative:page;z-index:-15883264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585858"/>
                    <w:w w:val="9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827" w:hanging="361"/>
      </w:pPr>
      <w:rPr>
        <w:rFonts w:hint="default" w:ascii="Symbol" w:hAnsi="Symbol" w:eastAsia="Symbol" w:cs="Symbol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5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0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4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7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14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7" w:hanging="361"/>
      </w:pPr>
      <w:rPr>
        <w:rFonts w:hint="default" w:ascii="Symbol" w:hAnsi="Symbol" w:eastAsia="Symbol" w:cs="Symbol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5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0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4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7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14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092" w:hanging="216"/>
      </w:pPr>
      <w:rPr>
        <w:rFonts w:hint="default" w:ascii="Symbol" w:hAnsi="Symbol" w:eastAsia="Symbol" w:cs="Symbol"/>
        <w:color w:val="DA5521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596" w:hanging="361"/>
      </w:pPr>
      <w:rPr>
        <w:rFonts w:hint="default" w:ascii="Symbol" w:hAnsi="Symbol" w:eastAsia="Symbol" w:cs="Symbol"/>
        <w:w w:val="99"/>
        <w:sz w:val="19"/>
        <w:szCs w:val="1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7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8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1" w:hanging="36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876"/>
      <w:outlineLvl w:val="1"/>
    </w:pPr>
    <w:rPr>
      <w:rFonts w:ascii="Arial MT" w:hAnsi="Arial MT" w:eastAsia="Arial MT" w:cs="Arial MT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2"/>
      <w:ind w:left="109"/>
    </w:pPr>
    <w:rPr>
      <w:rFonts w:ascii="Arial MT" w:hAnsi="Arial MT" w:eastAsia="Arial MT" w:cs="Arial MT"/>
      <w:sz w:val="39"/>
      <w:szCs w:val="39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7"/>
      <w:ind w:left="1596" w:hanging="361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92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yperlink" Target="http://www.aecf.org/m/resourcedoc/PCYC-Evidence2SuccessActionPlan-2015.pdf" TargetMode="External"/><Relationship Id="rId9" Type="http://schemas.openxmlformats.org/officeDocument/2006/relationships/footer" Target="footer3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KShatzkin</dc:creator>
  <dc:title>Microsoft Word - Fnl ActionPlanTemplate</dc:title>
  <dcterms:created xsi:type="dcterms:W3CDTF">2024-02-28T10:44:49Z</dcterms:created>
  <dcterms:modified xsi:type="dcterms:W3CDTF">2024-02-28T10:44:49Z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2024-02-28T00:00:00Z</vt:filetime>
  </property>
</Properties>
</file>