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8"/>
        </w:rPr>
      </w:pPr>
    </w:p>
    <w:tbl>
      <w:tblPr>
        <w:tblW w:w="0" w:type="auto"/>
        <w:jc w:val="left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8"/>
        <w:gridCol w:w="4722"/>
      </w:tblGrid>
      <w:tr>
        <w:trPr>
          <w:trHeight w:val="1251" w:hRule="atLeast"/>
        </w:trPr>
        <w:tc>
          <w:tcPr>
            <w:tcW w:w="4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Regulations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</w:p>
          <w:p>
            <w:pPr>
              <w:pStyle w:val="TableParagraph"/>
              <w:ind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Draft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16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0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Room,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Finlaison House,</w:t>
            </w:r>
          </w:p>
          <w:p>
            <w:pPr>
              <w:pStyle w:val="TableParagraph"/>
              <w:tabs>
                <w:tab w:pos="9640" w:val="left" w:leader="none"/>
              </w:tabs>
              <w:ind w:left="0"/>
              <w:rPr>
                <w:b/>
                <w:sz w:val="24"/>
              </w:rPr>
            </w:pPr>
            <w:r>
              <w:rPr>
                <w:b/>
                <w:w w:val="100"/>
                <w:sz w:val="24"/>
                <w:u w:val="single"/>
              </w:rPr>
              <w:t> </w:t>
            </w:r>
            <w:r>
              <w:rPr>
                <w:b/>
                <w:spacing w:val="-2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15-17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Furnival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Street,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London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EC4A</w:t>
            </w:r>
            <w:r>
              <w:rPr>
                <w:b/>
                <w:spacing w:val="-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1AB</w:t>
              <w:tab/>
            </w:r>
          </w:p>
        </w:tc>
        <w:tc>
          <w:tcPr>
            <w:tcW w:w="4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2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26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2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2017</w:t>
            </w:r>
          </w:p>
          <w:p>
            <w:pPr>
              <w:pStyle w:val="TableParagraph"/>
              <w:ind w:left="0"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2:00pm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5:00pm</w:t>
            </w:r>
          </w:p>
        </w:tc>
      </w:tr>
      <w:tr>
        <w:trPr>
          <w:trHeight w:val="2070" w:hRule="atLeast"/>
        </w:trPr>
        <w:tc>
          <w:tcPr>
            <w:tcW w:w="4918" w:type="dxa"/>
          </w:tcPr>
          <w:p>
            <w:pPr>
              <w:pStyle w:val="TableParagraph"/>
              <w:spacing w:before="139"/>
              <w:ind w:right="1842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Board members present: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George Jenkins (Chairman)</w:t>
            </w:r>
            <w:r>
              <w:rPr>
                <w:rFonts w:ascii="Arial MT"/>
                <w:spacing w:val="-64"/>
                <w:sz w:val="24"/>
              </w:rPr>
              <w:t> </w:t>
            </w:r>
            <w:r>
              <w:rPr>
                <w:rFonts w:ascii="Arial MT"/>
                <w:sz w:val="24"/>
              </w:rPr>
              <w:t>David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Johnston</w:t>
            </w:r>
          </w:p>
          <w:p>
            <w:pPr>
              <w:pStyle w:val="TableParagraph"/>
              <w:ind w:right="32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Marta Phillips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Neil Swift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Matthew</w:t>
            </w:r>
            <w:r>
              <w:rPr>
                <w:rFonts w:ascii="Arial MT"/>
                <w:spacing w:val="-14"/>
                <w:sz w:val="24"/>
              </w:rPr>
              <w:t> </w:t>
            </w:r>
            <w:r>
              <w:rPr>
                <w:rFonts w:ascii="Arial MT"/>
                <w:sz w:val="24"/>
              </w:rPr>
              <w:t>Rees</w:t>
            </w:r>
          </w:p>
        </w:tc>
        <w:tc>
          <w:tcPr>
            <w:tcW w:w="4722" w:type="dxa"/>
          </w:tcPr>
          <w:p>
            <w:pPr>
              <w:pStyle w:val="TableParagraph"/>
              <w:spacing w:before="139"/>
              <w:ind w:left="185" w:right="2729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Others present: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rFonts w:ascii="Arial MT"/>
                <w:sz w:val="24"/>
              </w:rPr>
              <w:t>Malcolm Botting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David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Galpin</w:t>
            </w:r>
          </w:p>
          <w:p>
            <w:pPr>
              <w:pStyle w:val="TableParagraph"/>
              <w:spacing w:line="270" w:lineRule="atLeast"/>
              <w:ind w:left="185" w:right="218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Ian McPherson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Akhlaq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Shah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(item 4)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David Pottruff (item 5)</w:t>
            </w:r>
            <w:r>
              <w:rPr>
                <w:rFonts w:ascii="Arial MT"/>
                <w:spacing w:val="-65"/>
                <w:sz w:val="24"/>
              </w:rPr>
              <w:t> </w:t>
            </w:r>
            <w:r>
              <w:rPr>
                <w:rFonts w:ascii="Arial MT"/>
                <w:sz w:val="24"/>
              </w:rPr>
              <w:t>Ben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Johnson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(item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6)</w:t>
            </w:r>
          </w:p>
        </w:tc>
      </w:tr>
    </w:tbl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6"/>
        <w:ind w:left="0"/>
        <w:rPr>
          <w:rFonts w:ascii="Times New Roman"/>
        </w:rPr>
      </w:pPr>
      <w:r>
        <w:rPr/>
        <w:pict>
          <v:rect style="position:absolute;margin-left:68.544006pt;margin-top:16.078371pt;width:482.73602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ind w:left="0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Welcome,</w:t>
      </w:r>
      <w:r>
        <w:rPr>
          <w:spacing w:val="-3"/>
        </w:rPr>
        <w:t> </w:t>
      </w:r>
      <w:r>
        <w:rPr/>
        <w:t>apologies,</w:t>
      </w:r>
      <w:r>
        <w:rPr>
          <w:spacing w:val="-4"/>
        </w:rPr>
        <w:t> </w:t>
      </w:r>
      <w:r>
        <w:rPr/>
        <w:t>announcements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declarations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Chairman</w:t>
      </w:r>
      <w:r>
        <w:rPr>
          <w:spacing w:val="-2"/>
          <w:sz w:val="24"/>
        </w:rPr>
        <w:t> </w:t>
      </w:r>
      <w:r>
        <w:rPr>
          <w:sz w:val="24"/>
        </w:rPr>
        <w:t>welcomed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16th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0" w:hanging="567"/>
        <w:jc w:val="left"/>
        <w:rPr>
          <w:sz w:val="24"/>
        </w:rPr>
      </w:pPr>
      <w:r>
        <w:rPr>
          <w:sz w:val="24"/>
        </w:rPr>
        <w:t>Apologies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received</w:t>
      </w:r>
      <w:r>
        <w:rPr>
          <w:spacing w:val="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Terence</w:t>
      </w:r>
      <w:r>
        <w:rPr>
          <w:spacing w:val="-3"/>
          <w:sz w:val="24"/>
        </w:rPr>
        <w:t> </w:t>
      </w:r>
      <w:r>
        <w:rPr>
          <w:sz w:val="24"/>
        </w:rPr>
        <w:t>Jagger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Marcine</w:t>
      </w:r>
      <w:r>
        <w:rPr>
          <w:spacing w:val="-7"/>
          <w:sz w:val="24"/>
        </w:rPr>
        <w:t> </w:t>
      </w:r>
      <w:r>
        <w:rPr>
          <w:sz w:val="24"/>
        </w:rPr>
        <w:t>Waterman.</w:t>
      </w: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64.103996pt;margin-top:14.034682pt;width:480.5pt;height:20.9pt;mso-position-horizontal-relative:page;mso-position-vertical-relative:paragraph;z-index:-157281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7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There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were no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declarations of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interest.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5" w:after="0"/>
        <w:ind w:left="683" w:right="0" w:hanging="567"/>
        <w:jc w:val="left"/>
      </w:pPr>
      <w:r>
        <w:rPr/>
        <w:t>Minutes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15</w:t>
      </w:r>
      <w:r>
        <w:rPr>
          <w:position w:val="8"/>
          <w:sz w:val="16"/>
        </w:rPr>
        <w:t>th</w:t>
      </w:r>
      <w:r>
        <w:rPr>
          <w:spacing w:val="22"/>
          <w:position w:val="8"/>
          <w:sz w:val="16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 and</w:t>
      </w:r>
      <w:r>
        <w:rPr>
          <w:spacing w:val="-4"/>
        </w:rPr>
        <w:t> </w:t>
      </w:r>
      <w:r>
        <w:rPr/>
        <w:t>action</w:t>
      </w:r>
      <w:r>
        <w:rPr>
          <w:spacing w:val="-1"/>
        </w:rPr>
        <w:t> </w:t>
      </w:r>
      <w:r>
        <w:rPr/>
        <w:t>tracker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2" w:lineRule="auto" w:before="199" w:after="0"/>
        <w:ind w:left="683" w:right="1259" w:hanging="567"/>
        <w:jc w:val="left"/>
        <w:rPr>
          <w:sz w:val="24"/>
        </w:rPr>
      </w:pPr>
      <w:r>
        <w:rPr>
          <w:sz w:val="24"/>
        </w:rPr>
        <w:t>The Chairman introduced the minutes of the Board meeting held on 24 May</w:t>
      </w:r>
      <w:r>
        <w:rPr>
          <w:spacing w:val="-64"/>
          <w:sz w:val="24"/>
        </w:rPr>
        <w:t> </w:t>
      </w:r>
      <w:r>
        <w:rPr>
          <w:sz w:val="24"/>
        </w:rPr>
        <w:t>2017. Five actions from the meeting were recorded on the separate ‘action</w:t>
      </w:r>
      <w:r>
        <w:rPr>
          <w:spacing w:val="1"/>
          <w:sz w:val="24"/>
        </w:rPr>
        <w:t> </w:t>
      </w:r>
      <w:r>
        <w:rPr>
          <w:sz w:val="24"/>
        </w:rPr>
        <w:t>tracker’.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4" w:after="0"/>
        <w:ind w:left="683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completed,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matters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arising.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4" w:after="0"/>
        <w:ind w:left="683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15</w:t>
      </w:r>
      <w:r>
        <w:rPr>
          <w:position w:val="8"/>
          <w:sz w:val="16"/>
        </w:rPr>
        <w:t>th</w:t>
      </w:r>
      <w:r>
        <w:rPr>
          <w:spacing w:val="18"/>
          <w:position w:val="8"/>
          <w:sz w:val="16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4"/>
          <w:sz w:val="24"/>
        </w:rPr>
        <w:t> </w:t>
      </w:r>
      <w:r>
        <w:rPr>
          <w:sz w:val="24"/>
        </w:rPr>
        <w:t>record.</w:t>
      </w:r>
    </w:p>
    <w:p>
      <w:pPr>
        <w:pStyle w:val="BodyText"/>
        <w:spacing w:before="10"/>
        <w:ind w:left="0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683" w:right="0" w:hanging="567"/>
        <w:jc w:val="left"/>
      </w:pPr>
      <w:r>
        <w:rPr/>
        <w:t>Chief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Officer’s</w:t>
      </w:r>
      <w:r>
        <w:rPr>
          <w:spacing w:val="1"/>
        </w:rPr>
        <w:t> </w:t>
      </w:r>
      <w:r>
        <w:rPr/>
        <w:t>report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1302" w:hanging="567"/>
        <w:jc w:val="left"/>
        <w:rPr>
          <w:sz w:val="24"/>
        </w:rPr>
      </w:pPr>
      <w:r>
        <w:rPr>
          <w:sz w:val="24"/>
        </w:rPr>
        <w:t>Neil Swift, Chief Operating Officer, presented his report to the Board, which</w:t>
      </w:r>
      <w:r>
        <w:rPr>
          <w:spacing w:val="-64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update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items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3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elsewhere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agenda.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673" w:hanging="567"/>
        <w:jc w:val="left"/>
        <w:rPr>
          <w:sz w:val="24"/>
        </w:rPr>
      </w:pPr>
      <w:r>
        <w:rPr>
          <w:sz w:val="24"/>
        </w:rPr>
        <w:t>The section in the report on stakeholder engagement provided a detailed update</w:t>
      </w:r>
      <w:r>
        <w:rPr>
          <w:spacing w:val="1"/>
          <w:sz w:val="24"/>
        </w:rPr>
        <w:t> </w:t>
      </w:r>
      <w:r>
        <w:rPr>
          <w:sz w:val="24"/>
        </w:rPr>
        <w:t>on the SSRO’s progress against the stakeholder management strategy. The</w:t>
      </w:r>
      <w:r>
        <w:rPr>
          <w:spacing w:val="1"/>
          <w:sz w:val="24"/>
        </w:rPr>
        <w:t> </w:t>
      </w:r>
      <w:r>
        <w:rPr>
          <w:sz w:val="24"/>
        </w:rPr>
        <w:t>Board had previously asked for a full update to be provided every six months, but</w:t>
      </w:r>
      <w:r>
        <w:rPr>
          <w:spacing w:val="-64"/>
          <w:sz w:val="24"/>
        </w:rPr>
        <w:t> </w:t>
      </w:r>
      <w:r>
        <w:rPr>
          <w:sz w:val="24"/>
        </w:rPr>
        <w:t>the Board stated that its requirements and the external environment had now</w:t>
      </w:r>
      <w:r>
        <w:rPr>
          <w:spacing w:val="1"/>
          <w:sz w:val="24"/>
        </w:rPr>
        <w:t> </w:t>
      </w:r>
      <w:r>
        <w:rPr>
          <w:sz w:val="24"/>
        </w:rPr>
        <w:t>changed. It therefore asked for a briefer version to be included in the Chief</w:t>
      </w:r>
      <w:r>
        <w:rPr>
          <w:spacing w:val="1"/>
          <w:sz w:val="24"/>
        </w:rPr>
        <w:t> </w:t>
      </w:r>
      <w:r>
        <w:rPr>
          <w:sz w:val="24"/>
        </w:rPr>
        <w:t>Executive’s</w:t>
      </w:r>
      <w:r>
        <w:rPr>
          <w:spacing w:val="-2"/>
          <w:sz w:val="24"/>
        </w:rPr>
        <w:t> </w:t>
      </w:r>
      <w:r>
        <w:rPr>
          <w:sz w:val="24"/>
        </w:rPr>
        <w:t>Report to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Board in</w:t>
      </w:r>
      <w:r>
        <w:rPr>
          <w:spacing w:val="-4"/>
          <w:sz w:val="24"/>
        </w:rPr>
        <w:t> </w:t>
      </w:r>
      <w:r>
        <w:rPr>
          <w:sz w:val="24"/>
        </w:rPr>
        <w:t>future.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30" w:hanging="567"/>
        <w:jc w:val="left"/>
        <w:rPr>
          <w:sz w:val="24"/>
        </w:rPr>
      </w:pPr>
      <w:r>
        <w:rPr>
          <w:sz w:val="24"/>
        </w:rPr>
        <w:t>The SSRO had published two documents since the May Board meeting. These</w:t>
      </w:r>
      <w:r>
        <w:rPr>
          <w:spacing w:val="1"/>
          <w:sz w:val="24"/>
        </w:rPr>
        <w:t> </w:t>
      </w:r>
      <w:r>
        <w:rPr>
          <w:sz w:val="24"/>
        </w:rPr>
        <w:t>were the annual statistical bulletin on 12 June and the discussion paper on</w:t>
      </w:r>
      <w:r>
        <w:rPr>
          <w:spacing w:val="1"/>
          <w:sz w:val="24"/>
        </w:rPr>
        <w:t> </w:t>
      </w:r>
      <w:r>
        <w:rPr>
          <w:sz w:val="24"/>
        </w:rPr>
        <w:t>calibrating profit rates in single source contracts on 15 June. The Corporate Plan</w:t>
      </w:r>
      <w:r>
        <w:rPr>
          <w:spacing w:val="-64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be published shortly.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960" w:top="1580" w:bottom="1160" w:left="1160" w:right="7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78" w:after="0"/>
        <w:ind w:left="683" w:right="700" w:hanging="567"/>
        <w:jc w:val="left"/>
        <w:rPr>
          <w:sz w:val="24"/>
        </w:rPr>
      </w:pPr>
      <w:r>
        <w:rPr>
          <w:sz w:val="24"/>
        </w:rPr>
        <w:t>The last annual review of the Board’s effectiveness had recommended that the</w:t>
      </w:r>
      <w:r>
        <w:rPr>
          <w:spacing w:val="1"/>
          <w:sz w:val="24"/>
        </w:rPr>
        <w:t> </w:t>
      </w:r>
      <w:r>
        <w:rPr>
          <w:sz w:val="24"/>
        </w:rPr>
        <w:t>Corporate Governance Framework and the Board’s terms of reference should be</w:t>
      </w:r>
      <w:r>
        <w:rPr>
          <w:spacing w:val="-64"/>
          <w:sz w:val="24"/>
        </w:rPr>
        <w:t> </w:t>
      </w:r>
      <w:r>
        <w:rPr>
          <w:sz w:val="24"/>
        </w:rPr>
        <w:t>amended to reflect a change to the Board’s quorum. The Board agreed that</w:t>
      </w:r>
      <w:r>
        <w:rPr>
          <w:spacing w:val="1"/>
          <w:sz w:val="24"/>
        </w:rPr>
        <w:t> </w:t>
      </w:r>
      <w:r>
        <w:rPr>
          <w:sz w:val="24"/>
        </w:rPr>
        <w:t>paragraph 3.10 of the Corporate Governance Framework should be amended to:</w:t>
      </w:r>
      <w:r>
        <w:rPr>
          <w:spacing w:val="-64"/>
          <w:sz w:val="24"/>
        </w:rPr>
        <w:t> </w:t>
      </w:r>
      <w:r>
        <w:rPr>
          <w:sz w:val="24"/>
        </w:rPr>
        <w:t>“At any meeting of the Board, the quorum will be three non-executive members</w:t>
      </w:r>
      <w:r>
        <w:rPr>
          <w:spacing w:val="1"/>
          <w:sz w:val="24"/>
        </w:rPr>
        <w:t> </w:t>
      </w:r>
      <w:r>
        <w:rPr>
          <w:sz w:val="24"/>
        </w:rPr>
        <w:t>present as a minimum, provided that more than half the members present are</w:t>
      </w:r>
      <w:r>
        <w:rPr>
          <w:spacing w:val="1"/>
          <w:sz w:val="24"/>
        </w:rPr>
        <w:t> </w:t>
      </w:r>
      <w:r>
        <w:rPr>
          <w:sz w:val="24"/>
        </w:rPr>
        <w:t>non-executive members”. Following a recommendation from the SSRO’s internal</w:t>
      </w:r>
      <w:r>
        <w:rPr>
          <w:spacing w:val="-64"/>
          <w:sz w:val="24"/>
        </w:rPr>
        <w:t> </w:t>
      </w:r>
      <w:r>
        <w:rPr>
          <w:sz w:val="24"/>
        </w:rPr>
        <w:t>auditors,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reference</w:t>
      </w:r>
      <w:r>
        <w:rPr>
          <w:spacing w:val="3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sentence</w:t>
      </w:r>
    </w:p>
    <w:p>
      <w:pPr>
        <w:pStyle w:val="BodyText"/>
        <w:spacing w:before="3"/>
        <w:ind w:right="982"/>
      </w:pPr>
      <w:r>
        <w:rPr/>
        <w:t>stating: “The Board’s annual review of its effectiveness will include an</w:t>
      </w:r>
      <w:r>
        <w:rPr>
          <w:spacing w:val="1"/>
        </w:rPr>
        <w:t> </w:t>
      </w:r>
      <w:r>
        <w:rPr/>
        <w:t>assessment of whether quoracy at meetings of the Board and committees has</w:t>
      </w:r>
      <w:r>
        <w:rPr>
          <w:spacing w:val="-64"/>
        </w:rPr>
        <w:t> </w:t>
      </w:r>
      <w:r>
        <w:rPr/>
        <w:t>been</w:t>
      </w:r>
      <w:r>
        <w:rPr>
          <w:spacing w:val="-1"/>
        </w:rPr>
        <w:t> </w:t>
      </w:r>
      <w:r>
        <w:rPr/>
        <w:t>achieved”.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666" w:hanging="567"/>
        <w:jc w:val="left"/>
        <w:rPr>
          <w:sz w:val="24"/>
        </w:rPr>
      </w:pPr>
      <w:r>
        <w:rPr>
          <w:sz w:val="24"/>
        </w:rPr>
        <w:t>The Chairman had written to the Secretary of State to submit the Board’s final</w:t>
      </w:r>
      <w:r>
        <w:rPr>
          <w:spacing w:val="1"/>
          <w:sz w:val="24"/>
        </w:rPr>
        <w:t> </w:t>
      </w:r>
      <w:r>
        <w:rPr>
          <w:sz w:val="24"/>
        </w:rPr>
        <w:t>recommendations following the review of legislation. The proposed next steps</w:t>
      </w:r>
      <w:r>
        <w:rPr>
          <w:spacing w:val="1"/>
          <w:sz w:val="24"/>
        </w:rPr>
        <w:t> </w:t>
      </w:r>
      <w:r>
        <w:rPr>
          <w:sz w:val="24"/>
        </w:rPr>
        <w:t>would be for the SSRO to publish its recommendations in the autumn, as a</w:t>
      </w:r>
      <w:r>
        <w:rPr>
          <w:spacing w:val="1"/>
          <w:sz w:val="24"/>
        </w:rPr>
        <w:t> </w:t>
      </w:r>
      <w:r>
        <w:rPr>
          <w:sz w:val="24"/>
        </w:rPr>
        <w:t>response to its public consultation (in line with government guidance on such</w:t>
      </w:r>
      <w:r>
        <w:rPr>
          <w:spacing w:val="1"/>
          <w:sz w:val="24"/>
        </w:rPr>
        <w:t> </w:t>
      </w:r>
      <w:r>
        <w:rPr>
          <w:sz w:val="24"/>
        </w:rPr>
        <w:t>matters) and to facilitate ongoing engagement with stakeholders as the Secretary</w:t>
      </w:r>
      <w:r>
        <w:rPr>
          <w:spacing w:val="-65"/>
          <w:sz w:val="24"/>
        </w:rPr>
        <w:t> </w:t>
      </w:r>
      <w:r>
        <w:rPr>
          <w:sz w:val="24"/>
        </w:rPr>
        <w:t>of State’s review took place. The MOD had previously indicated that it would like</w:t>
      </w:r>
      <w:r>
        <w:rPr>
          <w:spacing w:val="1"/>
          <w:sz w:val="24"/>
        </w:rPr>
        <w:t> </w:t>
      </w:r>
      <w:r>
        <w:rPr>
          <w:sz w:val="24"/>
        </w:rPr>
        <w:t>to continue engagement on the details of the SSRO’s recommendations with</w:t>
      </w:r>
      <w:r>
        <w:rPr>
          <w:spacing w:val="1"/>
          <w:sz w:val="24"/>
        </w:rPr>
        <w:t> </w:t>
      </w:r>
      <w:r>
        <w:rPr>
          <w:sz w:val="24"/>
        </w:rPr>
        <w:t>industry and the SSRO over the summer and autumn. MOD officials were due to</w:t>
      </w:r>
      <w:r>
        <w:rPr>
          <w:spacing w:val="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shortly</w:t>
      </w:r>
      <w:r>
        <w:rPr>
          <w:spacing w:val="-3"/>
          <w:sz w:val="24"/>
        </w:rPr>
        <w:t> </w:t>
      </w:r>
      <w:r>
        <w:rPr>
          <w:sz w:val="24"/>
        </w:rPr>
        <w:t>with further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this engagement.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717" w:hanging="567"/>
        <w:jc w:val="left"/>
        <w:rPr>
          <w:sz w:val="24"/>
        </w:rPr>
      </w:pPr>
      <w:r>
        <w:rPr>
          <w:sz w:val="24"/>
        </w:rPr>
        <w:t>The project to review the SSRO’s statutory guidance on Allowable Costs was</w:t>
      </w:r>
      <w:r>
        <w:rPr>
          <w:spacing w:val="1"/>
          <w:sz w:val="24"/>
        </w:rPr>
        <w:t> </w:t>
      </w:r>
      <w:r>
        <w:rPr>
          <w:sz w:val="24"/>
        </w:rPr>
        <w:t>progressing, and three working papers had been circulated to stakeholders on</w:t>
      </w:r>
      <w:r>
        <w:rPr>
          <w:spacing w:val="1"/>
          <w:sz w:val="24"/>
        </w:rPr>
        <w:t> </w:t>
      </w:r>
      <w:r>
        <w:rPr>
          <w:sz w:val="24"/>
        </w:rPr>
        <w:t>cost accounting and financial reporting; Allowable Costs related to tangible and</w:t>
      </w:r>
      <w:r>
        <w:rPr>
          <w:spacing w:val="1"/>
          <w:sz w:val="24"/>
        </w:rPr>
        <w:t> </w:t>
      </w:r>
      <w:r>
        <w:rPr>
          <w:sz w:val="24"/>
        </w:rPr>
        <w:t>intangible assets; and individual cost types. There has been regular engagement</w:t>
      </w:r>
      <w:r>
        <w:rPr>
          <w:spacing w:val="-64"/>
          <w:sz w:val="24"/>
        </w:rPr>
        <w:t> </w:t>
      </w:r>
      <w:r>
        <w:rPr>
          <w:sz w:val="24"/>
        </w:rPr>
        <w:t>throughout the project with the MOD and industry, as well as with professional</w:t>
      </w:r>
      <w:r>
        <w:rPr>
          <w:spacing w:val="1"/>
          <w:sz w:val="24"/>
        </w:rPr>
        <w:t> </w:t>
      </w:r>
      <w:r>
        <w:rPr>
          <w:sz w:val="24"/>
        </w:rPr>
        <w:t>bodies</w:t>
      </w:r>
      <w:r>
        <w:rPr>
          <w:spacing w:val="-3"/>
          <w:sz w:val="24"/>
        </w:rPr>
        <w:t> </w:t>
      </w:r>
      <w:r>
        <w:rPr>
          <w:sz w:val="24"/>
        </w:rPr>
        <w:t>and the accountancy</w:t>
      </w:r>
      <w:r>
        <w:rPr>
          <w:spacing w:val="-3"/>
          <w:sz w:val="24"/>
        </w:rPr>
        <w:t> </w:t>
      </w:r>
      <w:r>
        <w:rPr>
          <w:sz w:val="24"/>
        </w:rPr>
        <w:t>profession.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57" w:hanging="567"/>
        <w:jc w:val="left"/>
        <w:rPr>
          <w:sz w:val="24"/>
        </w:rPr>
      </w:pPr>
      <w:r>
        <w:rPr>
          <w:sz w:val="24"/>
        </w:rPr>
        <w:t>At its meeting on 21 March 2017, the Board had delegated to the Chairman the</w:t>
      </w:r>
      <w:r>
        <w:rPr>
          <w:spacing w:val="1"/>
          <w:sz w:val="24"/>
        </w:rPr>
        <w:t> </w:t>
      </w:r>
      <w:r>
        <w:rPr>
          <w:sz w:val="24"/>
        </w:rPr>
        <w:t>authority to appoint a Chair and members of the Regulatory Review Committee.</w:t>
      </w:r>
      <w:r>
        <w:rPr>
          <w:spacing w:val="1"/>
          <w:sz w:val="24"/>
        </w:rPr>
        <w:t> </w:t>
      </w:r>
      <w:r>
        <w:rPr>
          <w:sz w:val="24"/>
        </w:rPr>
        <w:t>The Chairman announced that he, Marta Phillips and the Chief Executive,</w:t>
      </w:r>
      <w:r>
        <w:rPr>
          <w:spacing w:val="1"/>
          <w:sz w:val="24"/>
        </w:rPr>
        <w:t> </w:t>
      </w:r>
      <w:r>
        <w:rPr>
          <w:sz w:val="24"/>
        </w:rPr>
        <w:t>Marcine Waterman, would be members of the Committee. The membership</w:t>
      </w:r>
      <w:r>
        <w:rPr>
          <w:spacing w:val="1"/>
          <w:sz w:val="24"/>
        </w:rPr>
        <w:t> </w:t>
      </w:r>
      <w:r>
        <w:rPr>
          <w:sz w:val="24"/>
        </w:rPr>
        <w:t>would be reconsidered once the current recruitment of additional non-executives</w:t>
      </w:r>
      <w:r>
        <w:rPr>
          <w:spacing w:val="-64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been concluded.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3" w:after="0"/>
        <w:ind w:left="683" w:right="773" w:hanging="567"/>
        <w:jc w:val="left"/>
        <w:rPr>
          <w:sz w:val="24"/>
        </w:rPr>
      </w:pPr>
      <w:r>
        <w:rPr>
          <w:sz w:val="24"/>
        </w:rPr>
        <w:t>The SSRO had received the NAO’s draft provisional audit findings on ‘Improving</w:t>
      </w:r>
      <w:r>
        <w:rPr>
          <w:spacing w:val="-64"/>
          <w:sz w:val="24"/>
        </w:rPr>
        <w:t> </w:t>
      </w:r>
      <w:r>
        <w:rPr>
          <w:sz w:val="24"/>
        </w:rPr>
        <w:t>value for money in non-competitive procurement on defence equipment’, and</w:t>
      </w:r>
      <w:r>
        <w:rPr>
          <w:spacing w:val="1"/>
          <w:sz w:val="24"/>
        </w:rPr>
        <w:t> </w:t>
      </w:r>
      <w:r>
        <w:rPr>
          <w:sz w:val="24"/>
        </w:rPr>
        <w:t>was providing factual amendments to the draft before the NAO’s deadline of 7</w:t>
      </w:r>
      <w:r>
        <w:rPr>
          <w:spacing w:val="1"/>
          <w:sz w:val="24"/>
        </w:rPr>
        <w:t> </w:t>
      </w:r>
      <w:r>
        <w:rPr>
          <w:sz w:val="24"/>
        </w:rPr>
        <w:t>July.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662" w:hanging="567"/>
        <w:jc w:val="left"/>
        <w:rPr>
          <w:sz w:val="24"/>
        </w:rPr>
      </w:pPr>
      <w:r>
        <w:rPr>
          <w:sz w:val="24"/>
        </w:rPr>
        <w:t>The Board was provided with an update on the ongoing work to update the Wage</w:t>
      </w:r>
      <w:r>
        <w:rPr>
          <w:spacing w:val="-64"/>
          <w:sz w:val="24"/>
        </w:rPr>
        <w:t> </w:t>
      </w:r>
      <w:r>
        <w:rPr>
          <w:sz w:val="24"/>
        </w:rPr>
        <w:t>Inflation study with a view to publication. </w:t>
      </w:r>
      <w:r>
        <w:rPr>
          <w:rFonts w:ascii="Arial"/>
          <w:b/>
          <w:sz w:val="24"/>
        </w:rPr>
        <w:t>Action: </w:t>
      </w:r>
      <w:r>
        <w:rPr>
          <w:sz w:val="24"/>
        </w:rPr>
        <w:t>the Board would be provided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of the earlier versions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report,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reference.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799" w:hanging="567"/>
        <w:jc w:val="left"/>
        <w:rPr>
          <w:sz w:val="24"/>
        </w:rPr>
      </w:pPr>
      <w:r>
        <w:rPr>
          <w:sz w:val="24"/>
        </w:rPr>
        <w:t>The Board asked about progress on responding to the points raised in the</w:t>
      </w:r>
      <w:r>
        <w:rPr>
          <w:spacing w:val="1"/>
          <w:sz w:val="24"/>
        </w:rPr>
        <w:t> </w:t>
      </w:r>
      <w:r>
        <w:rPr>
          <w:sz w:val="24"/>
        </w:rPr>
        <w:t>second staff survey and the development of an action plan to address them.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Action: </w:t>
      </w:r>
      <w:r>
        <w:rPr>
          <w:sz w:val="24"/>
        </w:rPr>
        <w:t>Progress on the staff survey would be reported to the September Board</w:t>
      </w:r>
      <w:r>
        <w:rPr>
          <w:spacing w:val="-64"/>
          <w:sz w:val="24"/>
        </w:rPr>
        <w:t> </w:t>
      </w:r>
      <w:r>
        <w:rPr>
          <w:sz w:val="24"/>
        </w:rPr>
        <w:t>meeting.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0" w:top="1320" w:bottom="1160" w:left="1160" w:right="780"/>
        </w:sectPr>
      </w:pPr>
    </w:p>
    <w:p>
      <w:pPr>
        <w:pStyle w:val="BodyText"/>
        <w:spacing w:before="0"/>
        <w:ind w:left="133"/>
        <w:rPr>
          <w:sz w:val="20"/>
        </w:rPr>
      </w:pPr>
      <w:r>
        <w:rPr>
          <w:sz w:val="20"/>
        </w:rPr>
        <w:pict>
          <v:shape style="width:480.5pt;height:147.0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spacing w:before="1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before="1"/>
                    <w:ind w:left="823" w:right="372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considered and approved the amendment to the Board terms of reference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Corporate Governance Framework; and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before="0"/>
                    <w:ind w:left="823" w:right="442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noted the information provided in the report regarding stakeholder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engagement,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publications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events,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wage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inflation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study,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guidance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on Allowable Costs, the review of the legislation and membership of the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Regulatory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Review</w:t>
                  </w:r>
                  <w:r>
                    <w:rPr>
                      <w:rFonts w:ascii="Arial"/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Committee.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0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2" w:after="0"/>
        <w:ind w:left="683" w:right="0" w:hanging="567"/>
        <w:jc w:val="left"/>
      </w:pPr>
      <w:r>
        <w:rPr/>
        <w:t>Annual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operation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regime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657" w:hanging="567"/>
        <w:jc w:val="left"/>
        <w:rPr>
          <w:sz w:val="24"/>
        </w:rPr>
      </w:pPr>
      <w:r>
        <w:rPr>
          <w:sz w:val="24"/>
        </w:rPr>
        <w:t>Matthew Rees, Director of Regulation and Economics, introduced a report setting</w:t>
      </w:r>
      <w:r>
        <w:rPr>
          <w:spacing w:val="-64"/>
          <w:sz w:val="24"/>
        </w:rPr>
        <w:t> </w:t>
      </w:r>
      <w:r>
        <w:rPr>
          <w:sz w:val="24"/>
        </w:rPr>
        <w:t>out progress against the ten indicators that had previously been identified by the</w:t>
      </w:r>
      <w:r>
        <w:rPr>
          <w:spacing w:val="1"/>
          <w:sz w:val="24"/>
        </w:rPr>
        <w:t> </w:t>
      </w:r>
      <w:r>
        <w:rPr>
          <w:sz w:val="24"/>
        </w:rPr>
        <w:t>SSRO as a means of assessing the operation of the regulatory framework. The</w:t>
      </w:r>
      <w:r>
        <w:rPr>
          <w:spacing w:val="1"/>
          <w:sz w:val="24"/>
        </w:rPr>
        <w:t> </w:t>
      </w:r>
      <w:r>
        <w:rPr>
          <w:sz w:val="24"/>
        </w:rPr>
        <w:t>Board’s guidance was sought on the content of the report, its publication and</w:t>
      </w:r>
      <w:r>
        <w:rPr>
          <w:spacing w:val="1"/>
          <w:sz w:val="24"/>
        </w:rPr>
        <w:t> </w:t>
      </w:r>
      <w:r>
        <w:rPr>
          <w:sz w:val="24"/>
        </w:rPr>
        <w:t>timing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its release.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2" w:after="0"/>
        <w:ind w:left="683" w:right="699" w:hanging="567"/>
        <w:jc w:val="left"/>
        <w:rPr>
          <w:sz w:val="24"/>
        </w:rPr>
      </w:pPr>
      <w:r>
        <w:rPr>
          <w:sz w:val="24"/>
        </w:rPr>
        <w:t>The Board considered each indicator in turn, the data collected and conclusions</w:t>
      </w:r>
      <w:r>
        <w:rPr>
          <w:spacing w:val="1"/>
          <w:sz w:val="24"/>
        </w:rPr>
        <w:t> </w:t>
      </w:r>
      <w:r>
        <w:rPr>
          <w:sz w:val="24"/>
        </w:rPr>
        <w:t>drawn. The data for indicators 1-5 provided an indication of the extent to which</w:t>
      </w:r>
      <w:r>
        <w:rPr>
          <w:spacing w:val="1"/>
          <w:sz w:val="24"/>
        </w:rPr>
        <w:t> </w:t>
      </w:r>
      <w:r>
        <w:rPr>
          <w:sz w:val="24"/>
        </w:rPr>
        <w:t>reporting requirements were being complied with and how the provision of the</w:t>
      </w:r>
      <w:r>
        <w:rPr>
          <w:spacing w:val="1"/>
          <w:sz w:val="24"/>
        </w:rPr>
        <w:t> </w:t>
      </w:r>
      <w:r>
        <w:rPr>
          <w:sz w:val="24"/>
        </w:rPr>
        <w:t>regulatory framework was operating. The Board considered that these indicators</w:t>
      </w:r>
      <w:r>
        <w:rPr>
          <w:spacing w:val="-64"/>
          <w:sz w:val="24"/>
        </w:rPr>
        <w:t> </w:t>
      </w:r>
      <w:r>
        <w:rPr>
          <w:sz w:val="24"/>
        </w:rPr>
        <w:t>provided a useful baseline for further analysis, with the data series developing as</w:t>
      </w:r>
      <w:r>
        <w:rPr>
          <w:spacing w:val="-64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3"/>
          <w:sz w:val="24"/>
        </w:rPr>
        <w:t> </w:t>
      </w:r>
      <w:r>
        <w:rPr>
          <w:sz w:val="24"/>
        </w:rPr>
        <w:t>became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future.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58" w:hanging="567"/>
        <w:jc w:val="left"/>
        <w:rPr>
          <w:sz w:val="24"/>
        </w:rPr>
      </w:pPr>
      <w:r>
        <w:rPr>
          <w:sz w:val="24"/>
        </w:rPr>
        <w:t>The limited data for the remaining indicators did not currently allow the</w:t>
      </w:r>
      <w:r>
        <w:rPr>
          <w:spacing w:val="1"/>
          <w:sz w:val="24"/>
        </w:rPr>
        <w:t> </w:t>
      </w:r>
      <w:r>
        <w:rPr>
          <w:sz w:val="24"/>
        </w:rPr>
        <w:t>development of a similar baseline. The Board considered that these indicators</w:t>
      </w:r>
      <w:r>
        <w:rPr>
          <w:spacing w:val="1"/>
          <w:sz w:val="24"/>
        </w:rPr>
        <w:t> </w:t>
      </w:r>
      <w:r>
        <w:rPr>
          <w:sz w:val="24"/>
        </w:rPr>
        <w:t>would not assist the SSRO’s understanding of whether the regulatory framework</w:t>
      </w:r>
      <w:r>
        <w:rPr>
          <w:spacing w:val="-64"/>
          <w:sz w:val="24"/>
        </w:rPr>
        <w:t> </w:t>
      </w:r>
      <w:r>
        <w:rPr>
          <w:sz w:val="24"/>
        </w:rPr>
        <w:t>was operating as intended. The original aim of the indicator could not be met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the limited</w:t>
      </w:r>
      <w:r>
        <w:rPr>
          <w:spacing w:val="-2"/>
          <w:sz w:val="24"/>
        </w:rPr>
        <w:t> </w:t>
      </w:r>
      <w:r>
        <w:rPr>
          <w:sz w:val="24"/>
        </w:rPr>
        <w:t>information available.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673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indicator</w:t>
      </w:r>
      <w:r>
        <w:rPr>
          <w:spacing w:val="3"/>
          <w:sz w:val="24"/>
        </w:rPr>
        <w:t> </w:t>
      </w:r>
      <w:r>
        <w:rPr>
          <w:sz w:val="24"/>
        </w:rPr>
        <w:t>relating to</w:t>
      </w:r>
      <w:r>
        <w:rPr>
          <w:spacing w:val="3"/>
          <w:sz w:val="24"/>
        </w:rPr>
        <w:t> </w:t>
      </w:r>
      <w:r>
        <w:rPr>
          <w:sz w:val="24"/>
        </w:rPr>
        <w:t>compliance</w:t>
      </w:r>
      <w:r>
        <w:rPr>
          <w:spacing w:val="3"/>
          <w:sz w:val="24"/>
        </w:rPr>
        <w:t> </w:t>
      </w:r>
      <w:r>
        <w:rPr>
          <w:sz w:val="24"/>
        </w:rPr>
        <w:t>showed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78 per</w:t>
      </w:r>
      <w:r>
        <w:rPr>
          <w:spacing w:val="3"/>
          <w:sz w:val="24"/>
        </w:rPr>
        <w:t> </w:t>
      </w:r>
      <w:r>
        <w:rPr>
          <w:sz w:val="24"/>
        </w:rPr>
        <w:t>cent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submissions</w:t>
      </w:r>
      <w:r>
        <w:rPr>
          <w:spacing w:val="1"/>
          <w:sz w:val="24"/>
        </w:rPr>
        <w:t> </w:t>
      </w:r>
      <w:r>
        <w:rPr>
          <w:sz w:val="24"/>
        </w:rPr>
        <w:t>were made by the deadline, increasing to 89 per cent within one month of the</w:t>
      </w:r>
      <w:r>
        <w:rPr>
          <w:spacing w:val="1"/>
          <w:sz w:val="24"/>
        </w:rPr>
        <w:t> </w:t>
      </w:r>
      <w:r>
        <w:rPr>
          <w:sz w:val="24"/>
        </w:rPr>
        <w:t>deadline. A significant number (1,877) of compliance queries had been raised</w:t>
      </w:r>
      <w:r>
        <w:rPr>
          <w:spacing w:val="1"/>
          <w:sz w:val="24"/>
        </w:rPr>
        <w:t> </w:t>
      </w:r>
      <w:r>
        <w:rPr>
          <w:sz w:val="24"/>
        </w:rPr>
        <w:t>with both contractors and the MOD on the quality of submissions. In 59 per cent</w:t>
      </w:r>
      <w:r>
        <w:rPr>
          <w:spacing w:val="1"/>
          <w:sz w:val="24"/>
        </w:rPr>
        <w:t> </w:t>
      </w:r>
      <w:r>
        <w:rPr>
          <w:sz w:val="24"/>
        </w:rPr>
        <w:t>of reporting queries these had been resolved with either no further action or a</w:t>
      </w:r>
      <w:r>
        <w:rPr>
          <w:spacing w:val="1"/>
          <w:sz w:val="24"/>
        </w:rPr>
        <w:t> </w:t>
      </w:r>
      <w:r>
        <w:rPr>
          <w:sz w:val="24"/>
        </w:rPr>
        <w:t>straightforward amendment to the original submission. The implementation of the</w:t>
      </w:r>
      <w:r>
        <w:rPr>
          <w:spacing w:val="-64"/>
          <w:sz w:val="24"/>
        </w:rPr>
        <w:t> </w:t>
      </w:r>
      <w:r>
        <w:rPr>
          <w:sz w:val="24"/>
        </w:rPr>
        <w:t>DefCARS2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was,</w:t>
      </w:r>
      <w:r>
        <w:rPr>
          <w:spacing w:val="-1"/>
          <w:sz w:val="24"/>
        </w:rPr>
        <w:t> </w:t>
      </w:r>
      <w:r>
        <w:rPr>
          <w:sz w:val="24"/>
        </w:rPr>
        <w:t>in part, addressing compliance issues.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0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publication</w:t>
      </w:r>
      <w:r>
        <w:rPr>
          <w:spacing w:val="-4"/>
          <w:sz w:val="24"/>
        </w:rPr>
        <w:t> </w:t>
      </w:r>
      <w:r>
        <w:rPr>
          <w:sz w:val="24"/>
        </w:rPr>
        <w:t>of individual</w:t>
      </w:r>
      <w:r>
        <w:rPr>
          <w:spacing w:val="-2"/>
          <w:sz w:val="24"/>
        </w:rPr>
        <w:t> </w:t>
      </w:r>
      <w:r>
        <w:rPr>
          <w:sz w:val="24"/>
        </w:rPr>
        <w:t>contractor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before="3"/>
        <w:ind w:right="715"/>
      </w:pPr>
      <w:r>
        <w:rPr/>
        <w:t>the report, and whether it was incidental or conducive to the SSRO’s functions. It</w:t>
      </w:r>
      <w:r>
        <w:rPr>
          <w:spacing w:val="-64"/>
        </w:rPr>
        <w:t> </w:t>
      </w:r>
      <w:r>
        <w:rPr/>
        <w:t>was agreed that individual contractor details should not be included in the</w:t>
      </w:r>
      <w:r>
        <w:rPr>
          <w:spacing w:val="1"/>
        </w:rPr>
        <w:t> </w:t>
      </w:r>
      <w:r>
        <w:rPr/>
        <w:t>published version of the report, but that the MOD should be informed of the</w:t>
      </w:r>
      <w:r>
        <w:rPr>
          <w:spacing w:val="1"/>
        </w:rPr>
        <w:t> </w:t>
      </w:r>
      <w:r>
        <w:rPr/>
        <w:t>SSRO’s</w:t>
      </w:r>
      <w:r>
        <w:rPr>
          <w:spacing w:val="-1"/>
        </w:rPr>
        <w:t> </w:t>
      </w:r>
      <w:r>
        <w:rPr/>
        <w:t>conclusions</w:t>
      </w:r>
      <w:r>
        <w:rPr>
          <w:spacing w:val="-1"/>
        </w:rPr>
        <w:t> </w:t>
      </w:r>
      <w:r>
        <w:rPr/>
        <w:t>on individual</w:t>
      </w:r>
      <w:r>
        <w:rPr>
          <w:spacing w:val="-1"/>
        </w:rPr>
        <w:t> </w:t>
      </w:r>
      <w:r>
        <w:rPr/>
        <w:t>contractors.</w:t>
      </w:r>
    </w:p>
    <w:p>
      <w:pPr>
        <w:spacing w:after="0"/>
        <w:sectPr>
          <w:pgSz w:w="11910" w:h="16840"/>
          <w:pgMar w:header="0" w:footer="960" w:top="1440" w:bottom="1160" w:left="1160" w:right="780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78" w:after="0"/>
        <w:ind w:left="683" w:right="701" w:hanging="567"/>
        <w:jc w:val="left"/>
        <w:rPr>
          <w:sz w:val="24"/>
        </w:rPr>
      </w:pPr>
      <w:r>
        <w:rPr>
          <w:sz w:val="24"/>
        </w:rPr>
        <w:t>In discussion, the Board noted that care was needed with the presentation of the</w:t>
      </w:r>
      <w:r>
        <w:rPr>
          <w:spacing w:val="-64"/>
          <w:sz w:val="24"/>
        </w:rPr>
        <w:t> </w:t>
      </w:r>
      <w:r>
        <w:rPr>
          <w:sz w:val="24"/>
        </w:rPr>
        <w:t>report to be clear that over the last year the operation of the regime had</w:t>
      </w:r>
      <w:r>
        <w:rPr>
          <w:spacing w:val="1"/>
          <w:sz w:val="24"/>
        </w:rPr>
        <w:t> </w:t>
      </w:r>
      <w:r>
        <w:rPr>
          <w:sz w:val="24"/>
        </w:rPr>
        <w:t>improved, largely as a result of the hard work of all involved in the regime. The</w:t>
      </w:r>
      <w:r>
        <w:rPr>
          <w:spacing w:val="1"/>
          <w:sz w:val="24"/>
        </w:rPr>
        <w:t> </w:t>
      </w:r>
      <w:r>
        <w:rPr>
          <w:sz w:val="24"/>
        </w:rPr>
        <w:t>SSRO should engage with stakeholders to allow for fact checking and</w:t>
      </w:r>
      <w:r>
        <w:rPr>
          <w:spacing w:val="1"/>
          <w:sz w:val="24"/>
        </w:rPr>
        <w:t> </w:t>
      </w:r>
      <w:r>
        <w:rPr>
          <w:sz w:val="24"/>
        </w:rPr>
        <w:t>consideration of wider context issues. Factoring time in for this further</w:t>
      </w:r>
      <w:r>
        <w:rPr>
          <w:spacing w:val="1"/>
          <w:sz w:val="24"/>
        </w:rPr>
        <w:t> </w:t>
      </w:r>
      <w:r>
        <w:rPr>
          <w:sz w:val="24"/>
        </w:rPr>
        <w:t>engagement meant that the publication of the report would need to be delayed to</w:t>
      </w:r>
      <w:r>
        <w:rPr>
          <w:spacing w:val="-64"/>
          <w:sz w:val="24"/>
        </w:rPr>
        <w:t> </w:t>
      </w:r>
      <w:r>
        <w:rPr>
          <w:sz w:val="24"/>
        </w:rPr>
        <w:t>autumn 2017. Any delay in publication would be communicated through ongoing</w:t>
      </w:r>
      <w:r>
        <w:rPr>
          <w:spacing w:val="1"/>
          <w:sz w:val="24"/>
        </w:rPr>
        <w:t> </w:t>
      </w:r>
      <w:r>
        <w:rPr>
          <w:sz w:val="24"/>
        </w:rPr>
        <w:t>stakeholder</w:t>
      </w:r>
      <w:r>
        <w:rPr>
          <w:spacing w:val="-4"/>
          <w:sz w:val="24"/>
        </w:rPr>
        <w:t> </w:t>
      </w:r>
      <w:r>
        <w:rPr>
          <w:sz w:val="24"/>
        </w:rPr>
        <w:t>engagement.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2" w:after="0"/>
        <w:ind w:left="683" w:right="861" w:hanging="567"/>
        <w:jc w:val="left"/>
        <w:rPr>
          <w:sz w:val="24"/>
        </w:rPr>
      </w:pPr>
      <w:r>
        <w:rPr>
          <w:sz w:val="24"/>
        </w:rPr>
        <w:t>In the light of the report’s findings and the operation of the regime to date the</w:t>
      </w:r>
      <w:r>
        <w:rPr>
          <w:spacing w:val="1"/>
          <w:sz w:val="24"/>
        </w:rPr>
        <w:t> </w:t>
      </w:r>
      <w:r>
        <w:rPr>
          <w:sz w:val="24"/>
        </w:rPr>
        <w:t>Executive should undertake a review of the approach to compliance work in the</w:t>
      </w:r>
      <w:r>
        <w:rPr>
          <w:spacing w:val="-64"/>
          <w:sz w:val="24"/>
        </w:rPr>
        <w:t> </w:t>
      </w:r>
      <w:r>
        <w:rPr>
          <w:sz w:val="24"/>
        </w:rPr>
        <w:t>coming months to determine whether the efficiency or effectiveness of the work</w:t>
      </w:r>
      <w:r>
        <w:rPr>
          <w:spacing w:val="-64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be improved.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949" w:hanging="567"/>
        <w:jc w:val="left"/>
        <w:rPr>
          <w:sz w:val="24"/>
        </w:rPr>
      </w:pPr>
      <w:r>
        <w:rPr>
          <w:sz w:val="24"/>
        </w:rPr>
        <w:t>The Board delegated authority to the Chairman and Chief Executive to decide</w:t>
      </w:r>
      <w:r>
        <w:rPr>
          <w:spacing w:val="1"/>
          <w:sz w:val="24"/>
        </w:rPr>
        <w:t> </w:t>
      </w:r>
      <w:r>
        <w:rPr>
          <w:sz w:val="24"/>
        </w:rPr>
        <w:t>upon the content of the report for publication following engagement with</w:t>
      </w:r>
      <w:r>
        <w:rPr>
          <w:spacing w:val="1"/>
          <w:sz w:val="24"/>
        </w:rPr>
        <w:t> </w:t>
      </w:r>
      <w:r>
        <w:rPr>
          <w:sz w:val="24"/>
        </w:rPr>
        <w:t>stakeholders.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asked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see,</w:t>
      </w:r>
      <w:r>
        <w:rPr>
          <w:spacing w:val="-3"/>
          <w:sz w:val="24"/>
        </w:rPr>
        <w:t> </w:t>
      </w:r>
      <w:r>
        <w:rPr>
          <w:sz w:val="24"/>
        </w:rPr>
        <w:t>informally,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developed</w:t>
      </w:r>
      <w:r>
        <w:rPr>
          <w:spacing w:val="-5"/>
          <w:sz w:val="24"/>
        </w:rPr>
        <w:t> </w:t>
      </w:r>
      <w:r>
        <w:rPr>
          <w:sz w:val="24"/>
        </w:rPr>
        <w:t>version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the draft before publication. </w:t>
      </w:r>
      <w:r>
        <w:rPr>
          <w:rFonts w:ascii="Arial"/>
          <w:b/>
          <w:sz w:val="24"/>
        </w:rPr>
        <w:t>Action: </w:t>
      </w:r>
      <w:r>
        <w:rPr>
          <w:sz w:val="24"/>
        </w:rPr>
        <w:t>a draft of the report would be shared with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members.</w:t>
      </w:r>
    </w:p>
    <w:p>
      <w:pPr>
        <w:pStyle w:val="BodyText"/>
        <w:spacing w:before="4"/>
        <w:ind w:left="0"/>
      </w:pPr>
      <w:r>
        <w:rPr/>
        <w:pict>
          <v:shape style="position:absolute;margin-left:64.944pt;margin-top:16.239918pt;width:480.5pt;height:222.5pt;mso-position-horizontal-relative:page;mso-position-vertical-relative:paragraph;z-index:-157271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 Board: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4" w:val="left" w:leader="none"/>
                    </w:tabs>
                    <w:spacing w:before="0"/>
                    <w:ind w:left="823" w:right="0" w:hanging="361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progress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against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ten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indicators;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4" w:val="left" w:leader="none"/>
                    </w:tabs>
                    <w:spacing w:before="0"/>
                    <w:ind w:left="823" w:right="0" w:hanging="361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considered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which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of the indicators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it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wished to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include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 the report;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4" w:val="left" w:leader="none"/>
                    </w:tabs>
                    <w:spacing w:before="0"/>
                    <w:ind w:left="823" w:right="0" w:hanging="361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decided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not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name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individual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contractors in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public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report;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4" w:val="left" w:leader="none"/>
                    </w:tabs>
                    <w:spacing w:before="0"/>
                    <w:ind w:left="823" w:right="371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considered whether there should be further engagement with the MOD on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content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of the report;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4" w:val="left" w:leader="none"/>
                    </w:tabs>
                    <w:spacing w:before="0"/>
                    <w:ind w:left="823" w:right="0" w:hanging="361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 timeframe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for publication of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report;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23" w:val="left" w:leader="none"/>
                      <w:tab w:pos="824" w:val="left" w:leader="none"/>
                    </w:tabs>
                    <w:spacing w:before="0"/>
                    <w:ind w:left="823" w:right="469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that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Chairman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Chief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Executive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had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delegated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authority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decide upon the final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content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of the report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for publication.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Risk study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update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1226" w:hanging="567"/>
        <w:jc w:val="left"/>
        <w:rPr>
          <w:sz w:val="24"/>
        </w:rPr>
      </w:pPr>
      <w:r>
        <w:rPr>
          <w:sz w:val="24"/>
        </w:rPr>
        <w:t>Matthew Rees, Director of Regulation and Economics, introduced a report</w:t>
      </w:r>
      <w:r>
        <w:rPr>
          <w:spacing w:val="1"/>
          <w:sz w:val="24"/>
        </w:rPr>
        <w:t> </w:t>
      </w:r>
      <w:r>
        <w:rPr>
          <w:sz w:val="24"/>
        </w:rPr>
        <w:t>updating the Board on progress with the study on the pricing of risk in single</w:t>
      </w:r>
      <w:r>
        <w:rPr>
          <w:spacing w:val="-65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defence contracts.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875" w:hanging="567"/>
        <w:jc w:val="left"/>
        <w:rPr>
          <w:sz w:val="24"/>
        </w:rPr>
      </w:pPr>
      <w:r>
        <w:rPr>
          <w:sz w:val="24"/>
        </w:rPr>
        <w:t>Concluding an informed, independent view on the pricing of risk in QDCs in the</w:t>
      </w:r>
      <w:r>
        <w:rPr>
          <w:spacing w:val="-64"/>
          <w:sz w:val="24"/>
        </w:rPr>
        <w:t> </w:t>
      </w:r>
      <w:r>
        <w:rPr>
          <w:sz w:val="24"/>
        </w:rPr>
        <w:t>time available continued to pose a challenge given the level of stakeholder</w:t>
      </w:r>
      <w:r>
        <w:rPr>
          <w:spacing w:val="1"/>
          <w:sz w:val="24"/>
        </w:rPr>
        <w:t> </w:t>
      </w:r>
      <w:r>
        <w:rPr>
          <w:sz w:val="24"/>
        </w:rPr>
        <w:t>engagement to date and the limited evidence provided. The SSRO had made a</w:t>
      </w:r>
      <w:r>
        <w:rPr>
          <w:spacing w:val="-64"/>
          <w:sz w:val="24"/>
        </w:rPr>
        <w:t> </w:t>
      </w:r>
      <w:r>
        <w:rPr>
          <w:sz w:val="24"/>
        </w:rPr>
        <w:t>formal request for information and would continue to reiterate the need for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it to conclude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study.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0" w:top="1320" w:bottom="1160" w:left="1160" w:right="780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78" w:after="0"/>
        <w:ind w:left="683" w:right="806" w:hanging="567"/>
        <w:jc w:val="left"/>
        <w:rPr>
          <w:sz w:val="24"/>
        </w:rPr>
      </w:pPr>
      <w:r>
        <w:rPr>
          <w:sz w:val="24"/>
        </w:rPr>
        <w:t>The SSRO had adapted its initial study plans, and was revising the timetable</w:t>
      </w:r>
      <w:r>
        <w:rPr>
          <w:spacing w:val="1"/>
          <w:sz w:val="24"/>
        </w:rPr>
        <w:t> </w:t>
      </w:r>
      <w:r>
        <w:rPr>
          <w:sz w:val="24"/>
        </w:rPr>
        <w:t>initially agreed for this work. Work on the study had commenced in March, and</w:t>
      </w:r>
      <w:r>
        <w:rPr>
          <w:spacing w:val="1"/>
          <w:sz w:val="24"/>
        </w:rPr>
        <w:t> </w:t>
      </w:r>
      <w:r>
        <w:rPr>
          <w:sz w:val="24"/>
        </w:rPr>
        <w:t>the provisional report would be shared with stakeholders for comment in</w:t>
      </w:r>
      <w:r>
        <w:rPr>
          <w:spacing w:val="1"/>
          <w:sz w:val="24"/>
        </w:rPr>
        <w:t> </w:t>
      </w:r>
      <w:r>
        <w:rPr>
          <w:sz w:val="24"/>
        </w:rPr>
        <w:t>September. The SSRO was now working towards a November deadline, which</w:t>
      </w:r>
      <w:r>
        <w:rPr>
          <w:spacing w:val="1"/>
          <w:sz w:val="24"/>
        </w:rPr>
        <w:t> </w:t>
      </w:r>
      <w:r>
        <w:rPr>
          <w:sz w:val="24"/>
        </w:rPr>
        <w:t>matched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timetable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Secretary</w:t>
      </w:r>
      <w:r>
        <w:rPr>
          <w:spacing w:val="-6"/>
          <w:sz w:val="24"/>
        </w:rPr>
        <w:t> </w:t>
      </w:r>
      <w:r>
        <w:rPr>
          <w:sz w:val="24"/>
        </w:rPr>
        <w:t>of State’s review</w:t>
      </w:r>
      <w:r>
        <w:rPr>
          <w:spacing w:val="-5"/>
          <w:sz w:val="24"/>
        </w:rPr>
        <w:t> </w:t>
      </w:r>
      <w:r>
        <w:rPr>
          <w:sz w:val="24"/>
        </w:rPr>
        <w:t>of legislation.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2" w:after="0"/>
        <w:ind w:left="683" w:right="835" w:hanging="567"/>
        <w:jc w:val="left"/>
        <w:rPr>
          <w:sz w:val="24"/>
        </w:rPr>
      </w:pPr>
      <w:r>
        <w:rPr>
          <w:sz w:val="24"/>
        </w:rPr>
        <w:t>The Board’s attention was drawn to issues and risks associated with</w:t>
      </w:r>
      <w:r>
        <w:rPr>
          <w:spacing w:val="1"/>
          <w:sz w:val="24"/>
        </w:rPr>
        <w:t> </w:t>
      </w:r>
      <w:r>
        <w:rPr>
          <w:sz w:val="24"/>
        </w:rPr>
        <w:t>stakeholders' expectations about the scope of the work. The SSRO wished to</w:t>
      </w:r>
      <w:r>
        <w:rPr>
          <w:spacing w:val="1"/>
          <w:sz w:val="24"/>
        </w:rPr>
        <w:t> </w:t>
      </w:r>
      <w:r>
        <w:rPr>
          <w:sz w:val="24"/>
        </w:rPr>
        <w:t>better understand the evidence base underpinning proposals made by</w:t>
      </w:r>
      <w:r>
        <w:rPr>
          <w:spacing w:val="1"/>
          <w:sz w:val="24"/>
        </w:rPr>
        <w:t> </w:t>
      </w:r>
      <w:r>
        <w:rPr>
          <w:sz w:val="24"/>
        </w:rPr>
        <w:t>stakeholders, and there would be opportunities to discuss these further at</w:t>
      </w:r>
      <w:r>
        <w:rPr>
          <w:spacing w:val="1"/>
          <w:sz w:val="24"/>
        </w:rPr>
        <w:t> </w:t>
      </w:r>
      <w:r>
        <w:rPr>
          <w:sz w:val="24"/>
        </w:rPr>
        <w:t>meetings planned on 20 June and 19 July. In discussion, a view was expressed</w:t>
      </w:r>
      <w:r>
        <w:rPr>
          <w:spacing w:val="-64"/>
          <w:sz w:val="24"/>
        </w:rPr>
        <w:t> </w:t>
      </w:r>
      <w:r>
        <w:rPr>
          <w:sz w:val="24"/>
        </w:rPr>
        <w:t>that the study should not state an opinion on the bandwidth of the cost risk</w:t>
      </w:r>
      <w:r>
        <w:rPr>
          <w:spacing w:val="1"/>
          <w:sz w:val="24"/>
        </w:rPr>
        <w:t> </w:t>
      </w:r>
      <w:r>
        <w:rPr>
          <w:sz w:val="24"/>
        </w:rPr>
        <w:t>adjustment. </w:t>
      </w:r>
      <w:r>
        <w:rPr>
          <w:rFonts w:ascii="Arial" w:hAnsi="Arial"/>
          <w:b/>
          <w:sz w:val="24"/>
        </w:rPr>
        <w:t>Action: </w:t>
      </w:r>
      <w:r>
        <w:rPr>
          <w:sz w:val="24"/>
        </w:rPr>
        <w:t>The Chairman would seek to discuss the study in his</w:t>
      </w:r>
      <w:r>
        <w:rPr>
          <w:spacing w:val="1"/>
          <w:sz w:val="24"/>
        </w:rPr>
        <w:t> </w:t>
      </w:r>
      <w:r>
        <w:rPr>
          <w:sz w:val="24"/>
        </w:rPr>
        <w:t>forthcoming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with the Minister.</w:t>
      </w: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64.103996pt;margin-top:14.03523pt;width:480.5pt;height:168.55pt;mso-position-horizontal-relative:page;mso-position-vertical-relative:paragraph;z-index:-157265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1"/>
                    <w:ind w:left="0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before="199"/>
                    <w:ind w:left="823" w:right="0" w:hanging="361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noted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progress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made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on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risk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study;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42" w:lineRule="auto" w:before="199"/>
                    <w:ind w:left="823" w:right="573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noted the pressures on the study and the associated risks set out in the</w:t>
                  </w:r>
                  <w:r>
                    <w:rPr>
                      <w:rFonts w:ascii="Arial"/>
                      <w:b/>
                      <w:spacing w:val="-6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report;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before="196"/>
                    <w:ind w:left="823" w:right="277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noted that a provisional report of findings and recommendations would be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presented to the SSRO Board in September; with publication of a final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report expected in November 2017, following a period of consultation with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stakeholders.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2" w:after="0"/>
        <w:ind w:left="683" w:right="0" w:hanging="567"/>
        <w:jc w:val="left"/>
      </w:pPr>
      <w:r>
        <w:rPr/>
        <w:t>Baseline</w:t>
      </w:r>
      <w:r>
        <w:rPr>
          <w:spacing w:val="-1"/>
        </w:rPr>
        <w:t> </w:t>
      </w:r>
      <w:r>
        <w:rPr/>
        <w:t>Profit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2018/19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40" w:hanging="567"/>
        <w:jc w:val="left"/>
        <w:rPr>
          <w:sz w:val="24"/>
        </w:rPr>
      </w:pPr>
      <w:r>
        <w:rPr>
          <w:sz w:val="24"/>
        </w:rPr>
        <w:t>Matthew Rees, Director of Regulation and Economics, introduced a report that</w:t>
      </w:r>
      <w:r>
        <w:rPr>
          <w:spacing w:val="1"/>
          <w:sz w:val="24"/>
        </w:rPr>
        <w:t> </w:t>
      </w:r>
      <w:r>
        <w:rPr>
          <w:sz w:val="24"/>
        </w:rPr>
        <w:t>made recommendations concerning the scope of work and approach to delivery</w:t>
      </w:r>
      <w:r>
        <w:rPr>
          <w:spacing w:val="1"/>
          <w:sz w:val="24"/>
        </w:rPr>
        <w:t> </w:t>
      </w:r>
      <w:r>
        <w:rPr>
          <w:sz w:val="24"/>
        </w:rPr>
        <w:t>for the baseline profit rate, capital servicing rates and funding adjustment for the</w:t>
      </w:r>
      <w:r>
        <w:rPr>
          <w:spacing w:val="1"/>
          <w:sz w:val="24"/>
        </w:rPr>
        <w:t> </w:t>
      </w:r>
      <w:r>
        <w:rPr>
          <w:sz w:val="24"/>
        </w:rPr>
        <w:t>financial year 2018/19. The report proposed that the existing methodology would</w:t>
      </w:r>
      <w:r>
        <w:rPr>
          <w:spacing w:val="-64"/>
          <w:sz w:val="24"/>
        </w:rPr>
        <w:t> </w:t>
      </w:r>
      <w:r>
        <w:rPr>
          <w:sz w:val="24"/>
        </w:rPr>
        <w:t>be applied to assess the appropriate rates and adjustment for 2018/19, although</w:t>
      </w:r>
      <w:r>
        <w:rPr>
          <w:spacing w:val="-64"/>
          <w:sz w:val="24"/>
        </w:rPr>
        <w:t> </w:t>
      </w:r>
      <w:r>
        <w:rPr>
          <w:sz w:val="24"/>
        </w:rPr>
        <w:t>the SSRO remained open to feedback. It also proposed the continuation of the</w:t>
      </w:r>
      <w:r>
        <w:rPr>
          <w:spacing w:val="1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in-house</w:t>
      </w:r>
      <w:r>
        <w:rPr>
          <w:spacing w:val="-1"/>
          <w:sz w:val="24"/>
        </w:rPr>
        <w:t> </w:t>
      </w:r>
      <w:r>
        <w:rPr>
          <w:sz w:val="24"/>
        </w:rPr>
        <w:t>approach that was adopted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year.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744" w:hanging="567"/>
        <w:jc w:val="left"/>
        <w:rPr>
          <w:sz w:val="24"/>
        </w:rPr>
      </w:pPr>
      <w:r>
        <w:rPr>
          <w:sz w:val="24"/>
        </w:rPr>
        <w:t>As in previous years, a ‘composite rate’ would be the SSRO’s assessment of the</w:t>
      </w:r>
      <w:r>
        <w:rPr>
          <w:spacing w:val="-64"/>
          <w:sz w:val="24"/>
        </w:rPr>
        <w:t> </w:t>
      </w:r>
      <w:r>
        <w:rPr>
          <w:sz w:val="24"/>
        </w:rPr>
        <w:t>appropriate BPR. The SSRO would calculate four profit rates for the ‘develop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make’,</w:t>
      </w:r>
      <w:r>
        <w:rPr>
          <w:spacing w:val="-4"/>
          <w:sz w:val="24"/>
        </w:rPr>
        <w:t> </w:t>
      </w:r>
      <w:r>
        <w:rPr>
          <w:sz w:val="24"/>
        </w:rPr>
        <w:t>‘provide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maintain’,</w:t>
      </w:r>
      <w:r>
        <w:rPr>
          <w:spacing w:val="-4"/>
          <w:sz w:val="24"/>
        </w:rPr>
        <w:t> </w:t>
      </w:r>
      <w:r>
        <w:rPr>
          <w:sz w:val="24"/>
        </w:rPr>
        <w:t>‘ancillary</w:t>
      </w:r>
      <w:r>
        <w:rPr>
          <w:spacing w:val="-6"/>
          <w:sz w:val="24"/>
        </w:rPr>
        <w:t> </w:t>
      </w:r>
      <w:r>
        <w:rPr>
          <w:sz w:val="24"/>
        </w:rPr>
        <w:t>services’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‘construction’</w:t>
      </w:r>
      <w:r>
        <w:rPr>
          <w:spacing w:val="-4"/>
          <w:sz w:val="24"/>
        </w:rPr>
        <w:t> </w:t>
      </w:r>
      <w:r>
        <w:rPr>
          <w:sz w:val="24"/>
        </w:rPr>
        <w:t>activity</w:t>
      </w:r>
    </w:p>
    <w:p>
      <w:pPr>
        <w:pStyle w:val="BodyText"/>
        <w:spacing w:before="0"/>
        <w:ind w:right="782"/>
      </w:pPr>
      <w:r>
        <w:rPr/>
        <w:t>types, with the composite rate derived from the ‘develop and make’ and ‘provide</w:t>
      </w:r>
      <w:r>
        <w:rPr>
          <w:spacing w:val="-64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maintain’</w:t>
      </w:r>
      <w:r>
        <w:rPr>
          <w:spacing w:val="-1"/>
        </w:rPr>
        <w:t> </w:t>
      </w:r>
      <w:r>
        <w:rPr/>
        <w:t>rates.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926" w:hanging="567"/>
        <w:jc w:val="left"/>
        <w:rPr>
          <w:sz w:val="24"/>
        </w:rPr>
      </w:pPr>
      <w:r>
        <w:rPr>
          <w:sz w:val="24"/>
        </w:rPr>
        <w:t>It was possible that the existing guidance on the application of the profit rate</w:t>
      </w:r>
      <w:r>
        <w:rPr>
          <w:spacing w:val="1"/>
          <w:sz w:val="24"/>
        </w:rPr>
        <w:t> </w:t>
      </w:r>
      <w:r>
        <w:rPr>
          <w:sz w:val="24"/>
        </w:rPr>
        <w:t>would require amendment driven by the outcome of the Secretary of State’s</w:t>
      </w:r>
      <w:r>
        <w:rPr>
          <w:spacing w:val="1"/>
          <w:sz w:val="24"/>
        </w:rPr>
        <w:t> </w:t>
      </w:r>
      <w:r>
        <w:rPr>
          <w:sz w:val="24"/>
        </w:rPr>
        <w:t>review of the legislation. Engagement with stakeholders on the development of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guidance</w:t>
      </w:r>
      <w:r>
        <w:rPr>
          <w:spacing w:val="1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begin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autumn,</w:t>
      </w:r>
      <w:r>
        <w:rPr>
          <w:spacing w:val="-3"/>
          <w:sz w:val="24"/>
        </w:rPr>
        <w:t> </w:t>
      </w:r>
      <w:r>
        <w:rPr>
          <w:sz w:val="24"/>
        </w:rPr>
        <w:t>alongside the</w:t>
      </w:r>
      <w:r>
        <w:rPr>
          <w:spacing w:val="-2"/>
          <w:sz w:val="24"/>
        </w:rPr>
        <w:t> </w:t>
      </w:r>
      <w:r>
        <w:rPr>
          <w:sz w:val="24"/>
        </w:rPr>
        <w:t>calculation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rates.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0" w:top="1320" w:bottom="1160" w:left="1160" w:right="780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78" w:after="0"/>
        <w:ind w:left="683" w:right="719" w:hanging="567"/>
        <w:jc w:val="left"/>
        <w:rPr>
          <w:sz w:val="24"/>
        </w:rPr>
      </w:pPr>
      <w:r>
        <w:rPr>
          <w:sz w:val="24"/>
        </w:rPr>
        <w:t>The work to recommend the rates had interdependencies with several of the</w:t>
      </w:r>
      <w:r>
        <w:rPr>
          <w:spacing w:val="1"/>
          <w:sz w:val="24"/>
        </w:rPr>
        <w:t> </w:t>
      </w:r>
      <w:r>
        <w:rPr>
          <w:sz w:val="24"/>
        </w:rPr>
        <w:t>SSRO’s ongoing projects. The SSRO’s study on risk was intended to provide the</w:t>
      </w:r>
      <w:r>
        <w:rPr>
          <w:spacing w:val="-64"/>
          <w:sz w:val="24"/>
        </w:rPr>
        <w:t> </w:t>
      </w:r>
      <w:r>
        <w:rPr>
          <w:sz w:val="24"/>
        </w:rPr>
        <w:t>basis of the SSRO’s thinking on the appropriate financial rewards for risk in</w:t>
      </w:r>
      <w:r>
        <w:rPr>
          <w:spacing w:val="1"/>
          <w:sz w:val="24"/>
        </w:rPr>
        <w:t> </w:t>
      </w:r>
      <w:r>
        <w:rPr>
          <w:sz w:val="24"/>
        </w:rPr>
        <w:t>contracts. The matter of risk contingency also had relevance to the guidance on</w:t>
      </w:r>
      <w:r>
        <w:rPr>
          <w:spacing w:val="1"/>
          <w:sz w:val="24"/>
        </w:rPr>
        <w:t> </w:t>
      </w:r>
      <w:r>
        <w:rPr>
          <w:sz w:val="24"/>
        </w:rPr>
        <w:t>Allowable</w:t>
      </w:r>
      <w:r>
        <w:rPr>
          <w:spacing w:val="-1"/>
          <w:sz w:val="24"/>
        </w:rPr>
        <w:t> </w:t>
      </w:r>
      <w:r>
        <w:rPr>
          <w:sz w:val="24"/>
        </w:rPr>
        <w:t>Costs, which was being</w:t>
      </w:r>
      <w:r>
        <w:rPr>
          <w:spacing w:val="-2"/>
          <w:sz w:val="24"/>
        </w:rPr>
        <w:t> </w:t>
      </w:r>
      <w:r>
        <w:rPr>
          <w:sz w:val="24"/>
        </w:rPr>
        <w:t>reviewed.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2" w:after="0"/>
        <w:ind w:left="683" w:right="658" w:hanging="567"/>
        <w:jc w:val="left"/>
        <w:rPr>
          <w:sz w:val="24"/>
        </w:rPr>
      </w:pPr>
      <w:r>
        <w:rPr>
          <w:sz w:val="24"/>
        </w:rPr>
        <w:t>The Board discussed the procurement of access to data and external specialist</w:t>
      </w:r>
      <w:r>
        <w:rPr>
          <w:spacing w:val="1"/>
          <w:sz w:val="24"/>
        </w:rPr>
        <w:t> </w:t>
      </w:r>
      <w:r>
        <w:rPr>
          <w:sz w:val="24"/>
        </w:rPr>
        <w:t>advice. For the previous year, external specialist advice had been engaged to</w:t>
      </w:r>
      <w:r>
        <w:rPr>
          <w:spacing w:val="1"/>
          <w:sz w:val="24"/>
        </w:rPr>
        <w:t> </w:t>
      </w:r>
      <w:r>
        <w:rPr>
          <w:sz w:val="24"/>
        </w:rPr>
        <w:t>provide technical support to the project team and independent assurance on the</w:t>
      </w:r>
      <w:r>
        <w:rPr>
          <w:spacing w:val="1"/>
          <w:sz w:val="24"/>
        </w:rPr>
        <w:t> </w:t>
      </w:r>
      <w:r>
        <w:rPr>
          <w:sz w:val="24"/>
        </w:rPr>
        <w:t>SSRO’s analysis to the Board. Options for external assurance for the new</w:t>
      </w:r>
      <w:r>
        <w:rPr>
          <w:spacing w:val="1"/>
          <w:sz w:val="24"/>
        </w:rPr>
        <w:t> </w:t>
      </w:r>
      <w:r>
        <w:rPr>
          <w:sz w:val="24"/>
        </w:rPr>
        <w:t>exercise</w:t>
      </w:r>
      <w:r>
        <w:rPr>
          <w:spacing w:val="5"/>
          <w:sz w:val="24"/>
        </w:rPr>
        <w:t> </w:t>
      </w:r>
      <w:r>
        <w:rPr>
          <w:sz w:val="24"/>
        </w:rPr>
        <w:t>were</w:t>
      </w:r>
      <w:r>
        <w:rPr>
          <w:spacing w:val="5"/>
          <w:sz w:val="24"/>
        </w:rPr>
        <w:t> </w:t>
      </w:r>
      <w:r>
        <w:rPr>
          <w:sz w:val="24"/>
        </w:rPr>
        <w:t>set</w:t>
      </w:r>
      <w:r>
        <w:rPr>
          <w:spacing w:val="4"/>
          <w:sz w:val="24"/>
        </w:rPr>
        <w:t> </w:t>
      </w:r>
      <w:r>
        <w:rPr>
          <w:sz w:val="24"/>
        </w:rPr>
        <w:t>out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paper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Board</w:t>
      </w:r>
      <w:r>
        <w:rPr>
          <w:spacing w:val="4"/>
          <w:sz w:val="24"/>
        </w:rPr>
        <w:t> </w:t>
      </w:r>
      <w:r>
        <w:rPr>
          <w:sz w:val="24"/>
        </w:rPr>
        <w:t>considered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issues,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multi-year</w:t>
      </w:r>
      <w:r>
        <w:rPr>
          <w:spacing w:val="-2"/>
          <w:sz w:val="24"/>
        </w:rPr>
        <w:t> </w:t>
      </w:r>
      <w:r>
        <w:rPr>
          <w:sz w:val="24"/>
        </w:rPr>
        <w:t>contract 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established, and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Option</w:t>
      </w:r>
    </w:p>
    <w:p>
      <w:pPr>
        <w:pStyle w:val="BodyText"/>
        <w:spacing w:before="0"/>
        <w:ind w:right="754"/>
      </w:pPr>
      <w:r>
        <w:rPr/>
        <w:t>5. The Board asked that quotes should be sought for external quality assurance,</w:t>
      </w:r>
      <w:r>
        <w:rPr>
          <w:spacing w:val="-64"/>
        </w:rPr>
        <w:t> </w:t>
      </w:r>
      <w:r>
        <w:rPr/>
        <w:t>and</w:t>
      </w:r>
      <w:r>
        <w:rPr>
          <w:spacing w:val="-3"/>
        </w:rPr>
        <w:t> </w:t>
      </w:r>
      <w:r>
        <w:rPr/>
        <w:t>that maximum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for money</w:t>
      </w:r>
      <w:r>
        <w:rPr>
          <w:spacing w:val="-4"/>
        </w:rPr>
        <w:t> </w:t>
      </w:r>
      <w:r>
        <w:rPr/>
        <w:t>should be sought.</w:t>
      </w: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64.103996pt;margin-top:14.03523pt;width:480.5pt;height:308.95pt;mso-position-horizontal-relative:page;mso-position-vertical-relative:paragraph;z-index:-157260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1"/>
                    <w:ind w:left="0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4" w:val="left" w:leader="none"/>
                    </w:tabs>
                    <w:spacing w:before="199"/>
                    <w:ind w:left="823" w:right="334" w:hanging="36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agreed to the application of the SSRO’s published methodology to assess</w:t>
                  </w:r>
                  <w:r>
                    <w:rPr>
                      <w:rFonts w:ascii="Arial" w:hAnsi="Arial"/>
                      <w:b/>
                      <w:spacing w:val="-6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the appropriate BPR, CSRs and FA for 2018/19 and to seek ministerial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support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for this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approach;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4" w:val="left" w:leader="none"/>
                    </w:tabs>
                    <w:spacing w:line="242" w:lineRule="auto" w:before="199"/>
                    <w:ind w:left="823" w:right="254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 that the SSRO should publish the underlying profit rates on its four</w:t>
                  </w:r>
                  <w:r>
                    <w:rPr>
                      <w:rFonts w:ascii="Arial"/>
                      <w:b/>
                      <w:spacing w:val="-6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activity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types;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4" w:val="left" w:leader="none"/>
                    </w:tabs>
                    <w:spacing w:before="196"/>
                    <w:ind w:left="823" w:right="296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issuing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working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paper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on developments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 guidance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autumn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ahead of a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formal consultation in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December;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4" w:val="left" w:leader="none"/>
                    </w:tabs>
                    <w:spacing w:before="200"/>
                    <w:ind w:left="823" w:right="695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 to the procurement of data and quality assurance services to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support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assessment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2018/19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assessment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accordance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with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procurement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strategy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set out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in the report;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4" w:val="left" w:leader="none"/>
                    </w:tabs>
                    <w:spacing w:line="242" w:lineRule="auto" w:before="199"/>
                    <w:ind w:left="823" w:right="479" w:hanging="36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agreed Option 5 in Appendix 3 as the approach to external assurance for</w:t>
                  </w:r>
                  <w:r>
                    <w:rPr>
                      <w:rFonts w:ascii="Arial"/>
                      <w:b/>
                      <w:spacing w:val="-6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this project; and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23" w:val="left" w:leader="none"/>
                      <w:tab w:pos="824" w:val="left" w:leader="none"/>
                    </w:tabs>
                    <w:spacing w:before="196"/>
                    <w:ind w:left="823" w:right="205" w:hanging="36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noted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the dependency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on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the delivery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of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updated guidance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on the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study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on</w:t>
                  </w:r>
                  <w:r>
                    <w:rPr>
                      <w:rFonts w:ascii="Arial" w:hAns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pricing of risk in single source defence contracts (‘the risk study’) and the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Allowable Costs review.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Annual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Accounts</w:t>
      </w:r>
      <w:r>
        <w:rPr>
          <w:spacing w:val="-2"/>
        </w:rPr>
        <w:t> </w:t>
      </w:r>
      <w:r>
        <w:rPr/>
        <w:t>2016/17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12" w:hanging="567"/>
        <w:jc w:val="left"/>
        <w:rPr>
          <w:sz w:val="24"/>
        </w:rPr>
      </w:pPr>
      <w:r>
        <w:rPr>
          <w:sz w:val="24"/>
        </w:rPr>
        <w:t>Neil Swift, Chief Operating Officer, introduced a report presenting the Annual</w:t>
      </w:r>
      <w:r>
        <w:rPr>
          <w:spacing w:val="1"/>
          <w:sz w:val="24"/>
        </w:rPr>
        <w:t> </w:t>
      </w:r>
      <w:r>
        <w:rPr>
          <w:sz w:val="24"/>
        </w:rPr>
        <w:t>Report and Accounts 2016/17 to the Board for review and approval, before the</w:t>
      </w:r>
      <w:r>
        <w:rPr>
          <w:spacing w:val="1"/>
          <w:sz w:val="24"/>
        </w:rPr>
        <w:t> </w:t>
      </w:r>
      <w:r>
        <w:rPr>
          <w:sz w:val="24"/>
        </w:rPr>
        <w:t>document was submitted to the Comptroller and Auditor General. The Annual</w:t>
      </w:r>
      <w:r>
        <w:rPr>
          <w:spacing w:val="1"/>
          <w:sz w:val="24"/>
        </w:rPr>
        <w:t> </w:t>
      </w:r>
      <w:r>
        <w:rPr>
          <w:sz w:val="24"/>
        </w:rPr>
        <w:t>Report and Accounts had been presented to the Executive Committee on 5 June</w:t>
      </w:r>
      <w:r>
        <w:rPr>
          <w:spacing w:val="-64"/>
          <w:sz w:val="24"/>
        </w:rPr>
        <w:t> </w:t>
      </w:r>
      <w:r>
        <w:rPr>
          <w:sz w:val="24"/>
        </w:rPr>
        <w:t>and Audit Committee on 12 June, and all revisions from the reviews by the</w:t>
      </w:r>
      <w:r>
        <w:rPr>
          <w:spacing w:val="1"/>
          <w:sz w:val="24"/>
        </w:rPr>
        <w:t> </w:t>
      </w:r>
      <w:r>
        <w:rPr>
          <w:sz w:val="24"/>
        </w:rPr>
        <w:t>Committees</w:t>
      </w:r>
      <w:r>
        <w:rPr>
          <w:spacing w:val="-1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incorporated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Appendix</w:t>
      </w:r>
      <w:r>
        <w:rPr>
          <w:spacing w:val="-3"/>
          <w:sz w:val="24"/>
        </w:rPr>
        <w:t> </w:t>
      </w:r>
      <w:r>
        <w:rPr>
          <w:sz w:val="24"/>
        </w:rPr>
        <w:t>1.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0" w:top="1320" w:bottom="1160" w:left="1160" w:right="780"/>
        </w:sectPr>
      </w:pPr>
    </w:p>
    <w:p>
      <w:pPr>
        <w:pStyle w:val="BodyText"/>
        <w:spacing w:before="0"/>
        <w:ind w:left="117"/>
        <w:rPr>
          <w:sz w:val="20"/>
        </w:rPr>
      </w:pPr>
      <w:r>
        <w:rPr>
          <w:sz w:val="20"/>
        </w:rPr>
        <w:pict>
          <v:shape style="width:480.5pt;height:63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spacing w:before="1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spacing w:before="199"/>
                    <w:ind w:left="46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reviewed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 approved the draft ARA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2016/17.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2" w:after="0"/>
        <w:ind w:left="683" w:right="0" w:hanging="567"/>
        <w:jc w:val="left"/>
      </w:pPr>
      <w:r>
        <w:rPr/>
        <w:t>Corporate</w:t>
      </w:r>
      <w:r>
        <w:rPr>
          <w:spacing w:val="-2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Report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00" w:after="0"/>
        <w:ind w:left="683" w:right="741" w:hanging="567"/>
        <w:jc w:val="left"/>
        <w:rPr>
          <w:sz w:val="24"/>
        </w:rPr>
      </w:pPr>
      <w:r>
        <w:rPr>
          <w:sz w:val="24"/>
        </w:rPr>
        <w:t>Neil Swift, Chief Operating Officer, introduced the report, which provided an</w:t>
      </w:r>
      <w:r>
        <w:rPr>
          <w:spacing w:val="1"/>
          <w:sz w:val="24"/>
        </w:rPr>
        <w:t> </w:t>
      </w:r>
      <w:r>
        <w:rPr>
          <w:sz w:val="24"/>
        </w:rPr>
        <w:t>update to the Board on how the organisation was delivering against its corporate</w:t>
      </w:r>
      <w:r>
        <w:rPr>
          <w:spacing w:val="-64"/>
          <w:sz w:val="24"/>
        </w:rPr>
        <w:t> </w:t>
      </w:r>
      <w:r>
        <w:rPr>
          <w:sz w:val="24"/>
        </w:rPr>
        <w:t>priorities</w:t>
      </w:r>
      <w:r>
        <w:rPr>
          <w:spacing w:val="-1"/>
          <w:sz w:val="24"/>
        </w:rPr>
        <w:t> </w:t>
      </w:r>
      <w:r>
        <w:rPr>
          <w:sz w:val="24"/>
        </w:rPr>
        <w:t>as set</w:t>
      </w:r>
      <w:r>
        <w:rPr>
          <w:spacing w:val="-2"/>
          <w:sz w:val="24"/>
        </w:rPr>
        <w:t> </w:t>
      </w:r>
      <w:r>
        <w:rPr>
          <w:sz w:val="24"/>
        </w:rPr>
        <w:t>out in the Corporate</w:t>
      </w:r>
      <w:r>
        <w:rPr>
          <w:spacing w:val="-1"/>
          <w:sz w:val="24"/>
        </w:rPr>
        <w:t> </w:t>
      </w:r>
      <w:r>
        <w:rPr>
          <w:sz w:val="24"/>
        </w:rPr>
        <w:t>Plan.</w:t>
      </w: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64.103996pt;margin-top:14.01584pt;width:480.5pt;height:65.8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spacing w:before="1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spacing w:before="199"/>
                    <w:ind w:left="46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1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reviewed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commented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on 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Corporate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Performance Report.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Minutes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Audit</w:t>
      </w:r>
      <w:r>
        <w:rPr>
          <w:spacing w:val="-2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12</w:t>
      </w:r>
      <w:r>
        <w:rPr>
          <w:spacing w:val="-3"/>
        </w:rPr>
        <w:t> </w:t>
      </w:r>
      <w:r>
        <w:rPr/>
        <w:t>June</w:t>
      </w:r>
      <w:r>
        <w:rPr>
          <w:spacing w:val="-1"/>
        </w:rPr>
        <w:t> </w:t>
      </w:r>
      <w:r>
        <w:rPr/>
        <w:t>2017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836" w:hanging="567"/>
        <w:jc w:val="left"/>
        <w:rPr>
          <w:sz w:val="24"/>
        </w:rPr>
      </w:pPr>
      <w:r>
        <w:rPr>
          <w:sz w:val="24"/>
        </w:rPr>
        <w:t>Marta Phillips, Chair of the Audit Committee, presented the minutes of the Audit</w:t>
      </w:r>
      <w:r>
        <w:rPr>
          <w:spacing w:val="-64"/>
          <w:sz w:val="24"/>
        </w:rPr>
        <w:t> </w:t>
      </w:r>
      <w:r>
        <w:rPr>
          <w:sz w:val="24"/>
        </w:rPr>
        <w:t>Committee’s meeting on 12 June 2017. The Committee had a full discussion on</w:t>
      </w:r>
      <w:r>
        <w:rPr>
          <w:spacing w:val="-64"/>
          <w:sz w:val="24"/>
        </w:rPr>
        <w:t> </w:t>
      </w:r>
      <w:r>
        <w:rPr>
          <w:sz w:val="24"/>
        </w:rPr>
        <w:t>risk, and had asked the executive to reconsider the organisation’s appetite 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risks set</w:t>
      </w:r>
      <w:r>
        <w:rPr>
          <w:spacing w:val="-2"/>
          <w:sz w:val="24"/>
        </w:rPr>
        <w:t> </w:t>
      </w:r>
      <w:r>
        <w:rPr>
          <w:sz w:val="24"/>
        </w:rPr>
        <w:t>out on the</w:t>
      </w:r>
      <w:r>
        <w:rPr>
          <w:spacing w:val="-2"/>
          <w:sz w:val="24"/>
        </w:rPr>
        <w:t> </w:t>
      </w:r>
      <w:r>
        <w:rPr>
          <w:sz w:val="24"/>
        </w:rPr>
        <w:t>corporate risk</w:t>
      </w:r>
      <w:r>
        <w:rPr>
          <w:spacing w:val="-1"/>
          <w:sz w:val="24"/>
        </w:rPr>
        <w:t> </w:t>
      </w:r>
      <w:r>
        <w:rPr>
          <w:sz w:val="24"/>
        </w:rPr>
        <w:t>register.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1135" w:hanging="567"/>
        <w:jc w:val="left"/>
        <w:rPr>
          <w:sz w:val="24"/>
        </w:rPr>
      </w:pPr>
      <w:r>
        <w:rPr>
          <w:sz w:val="24"/>
        </w:rPr>
        <w:t>The Committee had considered the annual report from the SSRO’s internal</w:t>
      </w:r>
      <w:r>
        <w:rPr>
          <w:spacing w:val="1"/>
          <w:sz w:val="24"/>
        </w:rPr>
        <w:t> </w:t>
      </w:r>
      <w:r>
        <w:rPr>
          <w:sz w:val="24"/>
        </w:rPr>
        <w:t>auditors, GIAA, which had provided substantial assurance for 2016/17. The</w:t>
      </w:r>
      <w:r>
        <w:rPr>
          <w:spacing w:val="1"/>
          <w:sz w:val="24"/>
        </w:rPr>
        <w:t> </w:t>
      </w:r>
      <w:r>
        <w:rPr>
          <w:sz w:val="24"/>
        </w:rPr>
        <w:t>Committee acknowledged the outstanding performance by the whole</w:t>
      </w:r>
      <w:r>
        <w:rPr>
          <w:spacing w:val="1"/>
          <w:sz w:val="24"/>
        </w:rPr>
        <w:t> </w:t>
      </w:r>
      <w:r>
        <w:rPr>
          <w:sz w:val="24"/>
        </w:rPr>
        <w:t>organisation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achieving</w:t>
      </w:r>
      <w:r>
        <w:rPr>
          <w:spacing w:val="-4"/>
          <w:sz w:val="24"/>
        </w:rPr>
        <w:t> </w:t>
      </w:r>
      <w:r>
        <w:rPr>
          <w:sz w:val="24"/>
        </w:rPr>
        <w:t>this.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considered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positive</w:t>
      </w:r>
      <w:r>
        <w:rPr>
          <w:spacing w:val="-64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external auditor.</w:t>
      </w: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64.103996pt;margin-top:14.072906pt;width:480.5pt;height:65.8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spacing w:before="199"/>
                    <w:ind w:left="46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1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noted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the draft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minutes.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Future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agendas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847" w:hanging="567"/>
        <w:jc w:val="left"/>
        <w:rPr>
          <w:sz w:val="24"/>
        </w:rPr>
      </w:pPr>
      <w:r>
        <w:rPr>
          <w:sz w:val="24"/>
        </w:rPr>
        <w:t>The draft agendas for Board and sub-committee meetings until December 2017</w:t>
      </w:r>
      <w:r>
        <w:rPr>
          <w:spacing w:val="-64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presented 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Board.</w:t>
      </w:r>
    </w:p>
    <w:p>
      <w:pPr>
        <w:pStyle w:val="BodyText"/>
        <w:spacing w:before="1"/>
        <w:ind w:left="0"/>
      </w:pPr>
      <w:r>
        <w:rPr/>
        <w:pict>
          <v:shape style="position:absolute;margin-left:64.103996pt;margin-top:16.074657pt;width:480.5pt;height:51.0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92"/>
                    <w:ind w:left="10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Board: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Arial"/>
                      <w:b/>
                    </w:rPr>
                  </w:pPr>
                </w:p>
                <w:p>
                  <w:pPr>
                    <w:spacing w:before="0"/>
                    <w:ind w:left="46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1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Commented on the draft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agendas.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7"/>
        <w:jc w:val="left"/>
      </w:pP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business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199" w:after="0"/>
        <w:ind w:left="683" w:right="736" w:hanging="567"/>
        <w:jc w:val="left"/>
        <w:rPr>
          <w:sz w:val="24"/>
        </w:rPr>
      </w:pPr>
      <w:r>
        <w:rPr>
          <w:sz w:val="24"/>
        </w:rPr>
        <w:t>The Chairman provided an update on the recruitment process for additional non-</w:t>
      </w:r>
      <w:r>
        <w:rPr>
          <w:spacing w:val="-64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members.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0" w:top="1400" w:bottom="1160" w:left="1160" w:right="780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2" w:lineRule="auto" w:before="78" w:after="0"/>
        <w:ind w:left="683" w:right="835" w:hanging="567"/>
        <w:jc w:val="left"/>
        <w:rPr>
          <w:sz w:val="24"/>
        </w:rPr>
      </w:pPr>
      <w:r>
        <w:rPr>
          <w:sz w:val="24"/>
        </w:rPr>
        <w:t>Following the meeting, there was a private discussion among the non-executive</w:t>
      </w:r>
      <w:r>
        <w:rPr>
          <w:spacing w:val="-64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members.</w:t>
      </w:r>
    </w:p>
    <w:p>
      <w:pPr>
        <w:pStyle w:val="BodyText"/>
        <w:spacing w:before="4"/>
        <w:ind w:left="0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1" w:after="0"/>
        <w:ind w:left="683" w:right="0" w:hanging="567"/>
        <w:jc w:val="left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2" w:lineRule="auto" w:before="199" w:after="0"/>
        <w:ind w:left="683" w:right="1422" w:hanging="567"/>
        <w:jc w:val="left"/>
        <w:rPr>
          <w:sz w:val="24"/>
        </w:rPr>
      </w:pPr>
      <w:r>
        <w:rPr>
          <w:sz w:val="24"/>
        </w:rPr>
        <w:t>The next meeting of the Board would take place on 18 September 2017 at</w:t>
      </w:r>
      <w:r>
        <w:rPr>
          <w:spacing w:val="-64"/>
          <w:sz w:val="24"/>
        </w:rPr>
        <w:t> </w:t>
      </w:r>
      <w:r>
        <w:rPr>
          <w:sz w:val="24"/>
        </w:rPr>
        <w:t>2:00pm</w:t>
      </w:r>
      <w:r>
        <w:rPr>
          <w:spacing w:val="-1"/>
          <w:sz w:val="24"/>
        </w:rPr>
        <w:t> </w:t>
      </w:r>
      <w:r>
        <w:rPr>
          <w:sz w:val="24"/>
        </w:rPr>
        <w:t>in Finlaison House.</w:t>
      </w:r>
    </w:p>
    <w:sectPr>
      <w:pgSz w:w="11910" w:h="16840"/>
      <w:pgMar w:header="0" w:footer="960" w:top="1320" w:bottom="1160" w:left="11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863998pt;margin-top:782.919434pt;width:124pt;height:24.65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12"/>
                  <w:ind w:left="20" w:right="8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  <w:r>
                  <w:rPr>
                    <w:position w:val="6"/>
                    <w:sz w:val="13"/>
                  </w:rPr>
                  <w:t>th</w:t>
                </w:r>
                <w:r>
                  <w:rPr>
                    <w:spacing w:val="14"/>
                    <w:position w:val="6"/>
                    <w:sz w:val="13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minutes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Malcolm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Botting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329987pt;margin-top:782.919434pt;width:56.2pt;height:13.15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8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40009pt;margin-top:782.919434pt;width:124.85pt;height:24.65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2"/>
                  <w:ind w:left="20" w:right="1" w:firstLine="1233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Version: Final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Issued: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18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September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823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23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3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3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3" w:hanging="567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9" w:hanging="56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9"/>
      <w:ind w:left="68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683" w:hanging="56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 w:right="-472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Botting</dc:creator>
  <cp:keywords>SSRO, Minutes;Board</cp:keywords>
  <dc:title>Board Minute template</dc:title>
  <dcterms:created xsi:type="dcterms:W3CDTF">2024-02-20T11:25:07Z</dcterms:created>
  <dcterms:modified xsi:type="dcterms:W3CDTF">2024-02-20T11:25:07Z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