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Promissory</w:t>
      </w:r>
      <w:r>
        <w:rPr>
          <w:spacing w:val="-8"/>
        </w:rPr>
        <w:t> </w:t>
      </w:r>
      <w:r>
        <w:rPr/>
        <w:t>Note</w:t>
      </w:r>
    </w:p>
    <w:p>
      <w:pPr>
        <w:pStyle w:val="BodyText"/>
        <w:spacing w:before="275"/>
        <w:ind w:left="300" w:right="331"/>
      </w:pPr>
      <w:r>
        <w:rPr/>
        <w:t>A </w:t>
      </w:r>
      <w:r>
        <w:rPr>
          <w:b/>
        </w:rPr>
        <w:t>promissory note </w:t>
      </w:r>
      <w:r>
        <w:rPr/>
        <w:t>is a </w:t>
      </w:r>
      <w:hyperlink r:id="rId5">
        <w:r>
          <w:rPr/>
          <w:t>legal instrument </w:t>
        </w:r>
      </w:hyperlink>
      <w:r>
        <w:rPr/>
        <w:t>(more particularly, a </w:t>
      </w:r>
      <w:hyperlink r:id="rId6">
        <w:r>
          <w:rPr/>
          <w:t>financial instrument</w:t>
        </w:r>
      </w:hyperlink>
      <w:r>
        <w:rPr/>
        <w:t>), in which one</w:t>
      </w:r>
      <w:r>
        <w:rPr>
          <w:spacing w:val="-57"/>
        </w:rPr>
        <w:t> </w:t>
      </w:r>
      <w:r>
        <w:rPr/>
        <w:t>party (the </w:t>
      </w:r>
      <w:r>
        <w:rPr>
          <w:i/>
        </w:rPr>
        <w:t>maker </w:t>
      </w:r>
      <w:r>
        <w:rPr/>
        <w:t>or </w:t>
      </w:r>
      <w:r>
        <w:rPr>
          <w:i/>
        </w:rPr>
        <w:t>issuer</w:t>
      </w:r>
      <w:r>
        <w:rPr/>
        <w:t>) promises in writing to pay a determinate sum of </w:t>
      </w:r>
      <w:hyperlink r:id="rId7">
        <w:r>
          <w:rPr/>
          <w:t>money </w:t>
        </w:r>
      </w:hyperlink>
      <w:r>
        <w:rPr/>
        <w:t>to the other</w:t>
      </w:r>
      <w:r>
        <w:rPr>
          <w:spacing w:val="1"/>
        </w:rPr>
        <w:t> </w:t>
      </w:r>
      <w:r>
        <w:rPr/>
        <w:t>(the </w:t>
      </w:r>
      <w:r>
        <w:rPr>
          <w:i/>
        </w:rPr>
        <w:t>payee</w:t>
      </w:r>
      <w:r>
        <w:rPr/>
        <w:t>), either at a fixed or determinable future time or on demand of the payee, under</w:t>
      </w:r>
      <w:r>
        <w:rPr>
          <w:spacing w:val="1"/>
        </w:rPr>
        <w:t> </w:t>
      </w:r>
      <w:r>
        <w:rPr/>
        <w:t>specific</w:t>
      </w:r>
      <w:r>
        <w:rPr>
          <w:spacing w:val="2"/>
        </w:rPr>
        <w:t> </w:t>
      </w:r>
      <w:r>
        <w:rPr/>
        <w:t>terms.</w:t>
      </w:r>
      <w:r>
        <w:rPr>
          <w:spacing w:val="5"/>
        </w:rPr>
        <w:t> </w:t>
      </w:r>
      <w:r>
        <w:rPr/>
        <w:t>If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promissory</w:t>
      </w:r>
      <w:r>
        <w:rPr>
          <w:spacing w:val="-2"/>
        </w:rPr>
        <w:t> </w:t>
      </w:r>
      <w:r>
        <w:rPr/>
        <w:t>note</w:t>
      </w:r>
      <w:r>
        <w:rPr>
          <w:spacing w:val="2"/>
        </w:rPr>
        <w:t> </w:t>
      </w:r>
      <w:r>
        <w:rPr/>
        <w:t>is</w:t>
      </w:r>
      <w:r>
        <w:rPr>
          <w:spacing w:val="3"/>
        </w:rPr>
        <w:t> </w:t>
      </w:r>
      <w:r>
        <w:rPr/>
        <w:t>unconditional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readily</w:t>
      </w:r>
      <w:r>
        <w:rPr>
          <w:spacing w:val="-2"/>
        </w:rPr>
        <w:t> </w:t>
      </w:r>
      <w:r>
        <w:rPr/>
        <w:t>salable,</w:t>
      </w:r>
      <w:r>
        <w:rPr>
          <w:spacing w:val="4"/>
        </w:rPr>
        <w:t> </w:t>
      </w:r>
      <w:r>
        <w:rPr/>
        <w:t>it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/>
        <w:t>called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hyperlink r:id="rId8">
        <w:r>
          <w:rPr/>
          <w:t>negotiable</w:t>
        </w:r>
        <w:r>
          <w:rPr>
            <w:spacing w:val="-1"/>
          </w:rPr>
          <w:t> </w:t>
        </w:r>
        <w:r>
          <w:rPr/>
          <w:t>instrument.</w:t>
        </w:r>
      </w:hyperlink>
      <w:hyperlink r:id="rId9">
        <w:r>
          <w:rPr>
            <w:vertAlign w:val="superscript"/>
          </w:rPr>
          <w:t>[1]</w:t>
        </w:r>
      </w:hyperlink>
    </w:p>
    <w:p>
      <w:pPr>
        <w:pStyle w:val="BodyText"/>
        <w:spacing w:before="2"/>
      </w:pPr>
    </w:p>
    <w:p>
      <w:pPr>
        <w:spacing w:before="0"/>
        <w:ind w:left="300" w:right="514" w:firstLine="0"/>
        <w:jc w:val="left"/>
        <w:rPr>
          <w:sz w:val="24"/>
        </w:rPr>
      </w:pPr>
      <w:r>
        <w:rPr>
          <w:sz w:val="24"/>
        </w:rPr>
        <w:t>Referred to as a </w:t>
      </w:r>
      <w:r>
        <w:rPr>
          <w:b/>
          <w:sz w:val="24"/>
        </w:rPr>
        <w:t>note payable </w:t>
      </w:r>
      <w:r>
        <w:rPr>
          <w:sz w:val="24"/>
        </w:rPr>
        <w:t>in </w:t>
      </w:r>
      <w:hyperlink r:id="rId10">
        <w:r>
          <w:rPr>
            <w:sz w:val="24"/>
          </w:rPr>
          <w:t>accounting </w:t>
        </w:r>
      </w:hyperlink>
      <w:r>
        <w:rPr>
          <w:sz w:val="24"/>
        </w:rPr>
        <w:t>(as distinguished from </w:t>
      </w:r>
      <w:hyperlink r:id="rId11">
        <w:r>
          <w:rPr>
            <w:sz w:val="24"/>
          </w:rPr>
          <w:t>accounts payable</w:t>
        </w:r>
      </w:hyperlink>
      <w:r>
        <w:rPr>
          <w:sz w:val="24"/>
        </w:rPr>
        <w:t>), or</w:t>
      </w:r>
      <w:r>
        <w:rPr>
          <w:spacing w:val="1"/>
          <w:sz w:val="24"/>
        </w:rPr>
        <w:t> </w:t>
      </w:r>
      <w:r>
        <w:rPr>
          <w:sz w:val="24"/>
        </w:rPr>
        <w:t>commonly as just a "note", it is internationally defined by the </w:t>
      </w:r>
      <w:r>
        <w:rPr>
          <w:i/>
          <w:sz w:val="24"/>
        </w:rPr>
        <w:t>Convention providing a uniform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law for bills of exchange and promissory notes</w:t>
      </w:r>
      <w:r>
        <w:rPr>
          <w:sz w:val="24"/>
        </w:rPr>
        <w:t>, although regional variations exist. </w:t>
      </w:r>
      <w:hyperlink r:id="rId12">
        <w:r>
          <w:rPr>
            <w:sz w:val="24"/>
          </w:rPr>
          <w:t>Bank note </w:t>
        </w:r>
      </w:hyperlink>
      <w:r>
        <w:rPr>
          <w:sz w:val="24"/>
        </w:rPr>
        <w:t>is</w:t>
      </w:r>
      <w:r>
        <w:rPr>
          <w:spacing w:val="-57"/>
          <w:sz w:val="24"/>
        </w:rPr>
        <w:t> </w:t>
      </w:r>
      <w:r>
        <w:rPr>
          <w:sz w:val="24"/>
        </w:rPr>
        <w:t>frequently referred to as a promissory note: a promissory note made by a bank and payable to</w:t>
      </w:r>
      <w:r>
        <w:rPr>
          <w:spacing w:val="1"/>
          <w:sz w:val="24"/>
        </w:rPr>
        <w:t> </w:t>
      </w:r>
      <w:r>
        <w:rPr>
          <w:sz w:val="24"/>
        </w:rPr>
        <w:t>bearer</w:t>
      </w:r>
      <w:r>
        <w:rPr>
          <w:spacing w:val="-1"/>
          <w:sz w:val="24"/>
        </w:rPr>
        <w:t> </w:t>
      </w:r>
      <w:r>
        <w:rPr>
          <w:sz w:val="24"/>
        </w:rPr>
        <w:t>on demand.</w:t>
      </w:r>
      <w:r>
        <w:rPr>
          <w:spacing w:val="-1"/>
          <w:sz w:val="24"/>
        </w:rPr>
        <w:t> </w:t>
      </w:r>
      <w:hyperlink r:id="rId13">
        <w:r>
          <w:rPr>
            <w:sz w:val="24"/>
          </w:rPr>
          <w:t>Mortgage</w:t>
        </w:r>
        <w:r>
          <w:rPr>
            <w:spacing w:val="-1"/>
            <w:sz w:val="24"/>
          </w:rPr>
          <w:t> </w:t>
        </w:r>
        <w:r>
          <w:rPr>
            <w:sz w:val="24"/>
          </w:rPr>
          <w:t>notes </w:t>
        </w:r>
      </w:hyperlink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another prominent</w:t>
      </w:r>
      <w:r>
        <w:rPr>
          <w:spacing w:val="-1"/>
          <w:sz w:val="24"/>
        </w:rPr>
        <w:t> </w:t>
      </w:r>
      <w:r>
        <w:rPr>
          <w:sz w:val="24"/>
        </w:rPr>
        <w:t>example.</w:t>
      </w:r>
    </w:p>
    <w:p>
      <w:pPr>
        <w:pStyle w:val="BodyText"/>
        <w:rPr>
          <w:sz w:val="25"/>
        </w:rPr>
      </w:pPr>
    </w:p>
    <w:p>
      <w:pPr>
        <w:pStyle w:val="Heading1"/>
      </w:pPr>
      <w:r>
        <w:rPr/>
        <w:t>Overview</w:t>
      </w:r>
    </w:p>
    <w:p>
      <w:pPr>
        <w:pStyle w:val="BodyText"/>
        <w:spacing w:before="274"/>
        <w:ind w:left="300" w:right="425"/>
      </w:pPr>
      <w:r>
        <w:rPr/>
        <w:t>The terms of a note usually include the </w:t>
      </w:r>
      <w:hyperlink r:id="rId14">
        <w:r>
          <w:rPr/>
          <w:t>principal </w:t>
        </w:r>
      </w:hyperlink>
      <w:r>
        <w:rPr/>
        <w:t>amount, the </w:t>
      </w:r>
      <w:hyperlink r:id="rId15">
        <w:r>
          <w:rPr/>
          <w:t>interest rate </w:t>
        </w:r>
      </w:hyperlink>
      <w:r>
        <w:rPr/>
        <w:t>if any, the parties, the</w:t>
      </w:r>
      <w:r>
        <w:rPr>
          <w:spacing w:val="1"/>
        </w:rPr>
        <w:t> </w:t>
      </w:r>
      <w:r>
        <w:rPr/>
        <w:t>date, the terms of repayment (which could include interest) and the </w:t>
      </w:r>
      <w:hyperlink r:id="rId16">
        <w:r>
          <w:rPr/>
          <w:t>maturity date.</w:t>
        </w:r>
      </w:hyperlink>
      <w:r>
        <w:rPr/>
        <w:t> Sometimes,</w:t>
      </w:r>
      <w:r>
        <w:rPr>
          <w:spacing w:val="1"/>
        </w:rPr>
        <w:t> </w:t>
      </w:r>
      <w:r>
        <w:rPr/>
        <w:t>provisions are included concerning the payee's rights in the event of a </w:t>
      </w:r>
      <w:hyperlink r:id="rId17">
        <w:r>
          <w:rPr/>
          <w:t>default</w:t>
        </w:r>
      </w:hyperlink>
      <w:r>
        <w:rPr/>
        <w:t>, which may</w:t>
      </w:r>
      <w:r>
        <w:rPr>
          <w:spacing w:val="1"/>
        </w:rPr>
        <w:t> </w:t>
      </w:r>
      <w:r>
        <w:rPr/>
        <w:t>include foreclosure of the maker's assets. </w:t>
      </w:r>
      <w:r>
        <w:rPr>
          <w:b/>
        </w:rPr>
        <w:t>Demand promissory notes </w:t>
      </w:r>
      <w:r>
        <w:rPr/>
        <w:t>are notes that do not carry</w:t>
      </w:r>
      <w:r>
        <w:rPr>
          <w:spacing w:val="-57"/>
        </w:rPr>
        <w:t> </w:t>
      </w:r>
      <w:r>
        <w:rPr/>
        <w:t>a specific maturity date, but are due on demand of the lender. Usually the lender will only give</w:t>
      </w:r>
      <w:r>
        <w:rPr>
          <w:spacing w:val="1"/>
        </w:rPr>
        <w:t> </w:t>
      </w:r>
      <w:r>
        <w:rPr/>
        <w:t>the borrower a few days' notice before the payment is due. For loans between individuals,</w:t>
      </w:r>
      <w:r>
        <w:rPr>
          <w:spacing w:val="1"/>
        </w:rPr>
        <w:t> </w:t>
      </w:r>
      <w:r>
        <w:rPr/>
        <w:t>writing and signing a promissory note are often instrumental for tax and record keeping. A</w:t>
      </w:r>
      <w:r>
        <w:rPr>
          <w:spacing w:val="1"/>
        </w:rPr>
        <w:t> </w:t>
      </w:r>
      <w:r>
        <w:rPr/>
        <w:t>promissory note alone is typically unsecured,</w:t>
      </w:r>
      <w:hyperlink r:id="rId18">
        <w:r>
          <w:rPr>
            <w:vertAlign w:val="superscript"/>
          </w:rPr>
          <w:t>[2]</w:t>
        </w:r>
        <w:r>
          <w:rPr>
            <w:vertAlign w:val="baseline"/>
          </w:rPr>
          <w:t> </w:t>
        </w:r>
      </w:hyperlink>
      <w:r>
        <w:rPr>
          <w:vertAlign w:val="baseline"/>
        </w:rPr>
        <w:t>but these may be used in combination with</w:t>
      </w:r>
      <w:r>
        <w:rPr>
          <w:spacing w:val="1"/>
          <w:vertAlign w:val="baseline"/>
        </w:rPr>
        <w:t> </w:t>
      </w:r>
      <w:hyperlink r:id="rId19">
        <w:r>
          <w:rPr>
            <w:vertAlign w:val="baseline"/>
          </w:rPr>
          <w:t>security</w:t>
        </w:r>
        <w:r>
          <w:rPr>
            <w:spacing w:val="-6"/>
            <w:vertAlign w:val="baseline"/>
          </w:rPr>
          <w:t> </w:t>
        </w:r>
        <w:r>
          <w:rPr>
            <w:vertAlign w:val="baseline"/>
          </w:rPr>
          <w:t>agreements </w:t>
        </w:r>
      </w:hyperlink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hyperlink r:id="rId20">
        <w:r>
          <w:rPr>
            <w:vertAlign w:val="baseline"/>
          </w:rPr>
          <w:t>mortgage,</w:t>
        </w:r>
      </w:hyperlink>
      <w:r>
        <w:rPr>
          <w:vertAlign w:val="baseline"/>
        </w:rPr>
        <w:t> in which</w:t>
      </w:r>
      <w:r>
        <w:rPr>
          <w:spacing w:val="1"/>
          <w:vertAlign w:val="baseline"/>
        </w:rPr>
        <w:t> </w:t>
      </w:r>
      <w:r>
        <w:rPr>
          <w:vertAlign w:val="baseline"/>
        </w:rPr>
        <w:t>case</w:t>
      </w:r>
      <w:r>
        <w:rPr>
          <w:spacing w:val="-1"/>
          <w:vertAlign w:val="baseline"/>
        </w:rPr>
        <w:t> </w:t>
      </w:r>
      <w:r>
        <w:rPr>
          <w:vertAlign w:val="baseline"/>
        </w:rPr>
        <w:t>they</w:t>
      </w:r>
      <w:r>
        <w:rPr>
          <w:spacing w:val="-3"/>
          <w:vertAlign w:val="baseline"/>
        </w:rPr>
        <w:t> </w:t>
      </w:r>
      <w:r>
        <w:rPr>
          <w:vertAlign w:val="baseline"/>
        </w:rPr>
        <w:t>are</w:t>
      </w:r>
      <w:r>
        <w:rPr>
          <w:spacing w:val="-1"/>
          <w:vertAlign w:val="baseline"/>
        </w:rPr>
        <w:t> </w:t>
      </w:r>
      <w:r>
        <w:rPr>
          <w:vertAlign w:val="baseline"/>
        </w:rPr>
        <w:t>called</w:t>
      </w:r>
      <w:r>
        <w:rPr>
          <w:spacing w:val="2"/>
          <w:vertAlign w:val="baseline"/>
        </w:rPr>
        <w:t> </w:t>
      </w:r>
      <w:hyperlink r:id="rId13">
        <w:r>
          <w:rPr>
            <w:vertAlign w:val="baseline"/>
          </w:rPr>
          <w:t>mortgage</w:t>
        </w:r>
        <w:r>
          <w:rPr>
            <w:spacing w:val="-1"/>
            <w:vertAlign w:val="baseline"/>
          </w:rPr>
          <w:t> </w:t>
        </w:r>
        <w:r>
          <w:rPr>
            <w:vertAlign w:val="baseline"/>
          </w:rPr>
          <w:t>notes</w:t>
        </w:r>
      </w:hyperlink>
      <w:r>
        <w:rPr>
          <w:vertAlign w:val="baseline"/>
        </w:rPr>
        <w:t>.</w:t>
      </w:r>
    </w:p>
    <w:p>
      <w:pPr>
        <w:pStyle w:val="BodyText"/>
        <w:spacing w:before="2"/>
        <w:rPr>
          <w:sz w:val="25"/>
        </w:rPr>
      </w:pPr>
    </w:p>
    <w:p>
      <w:pPr>
        <w:pStyle w:val="Heading2"/>
      </w:pPr>
      <w:r>
        <w:rPr/>
        <w:t>International</w:t>
      </w:r>
      <w:r>
        <w:rPr>
          <w:spacing w:val="-3"/>
        </w:rPr>
        <w:t> </w:t>
      </w:r>
      <w:r>
        <w:rPr/>
        <w:t>law</w:t>
      </w: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300" w:right="347" w:firstLine="0"/>
        <w:jc w:val="left"/>
        <w:rPr>
          <w:sz w:val="24"/>
        </w:rPr>
      </w:pPr>
      <w:r>
        <w:rPr>
          <w:sz w:val="24"/>
        </w:rPr>
        <w:t>Definition and usage of promissory notes are internationally established by the </w:t>
      </w:r>
      <w:r>
        <w:rPr>
          <w:i/>
          <w:sz w:val="24"/>
        </w:rPr>
        <w:t>Convention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providing a uniform law for bills of exchange and promissory notes</w:t>
      </w:r>
      <w:r>
        <w:rPr>
          <w:sz w:val="24"/>
        </w:rPr>
        <w:t>, signed in Geneva in 1930.</w:t>
      </w:r>
      <w:hyperlink r:id="rId21">
        <w:r>
          <w:rPr>
            <w:sz w:val="24"/>
            <w:vertAlign w:val="superscript"/>
          </w:rPr>
          <w:t>[3]</w:t>
        </w:r>
      </w:hyperlink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Article 75 of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the treaty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stated that a promissory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note shall contain: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684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term "</w:t>
      </w:r>
      <w:r>
        <w:rPr>
          <w:i/>
          <w:sz w:val="24"/>
        </w:rPr>
        <w:t>promissory note</w:t>
      </w:r>
      <w:r>
        <w:rPr>
          <w:sz w:val="24"/>
        </w:rPr>
        <w:t>"</w:t>
      </w:r>
      <w:r>
        <w:rPr>
          <w:spacing w:val="-3"/>
          <w:sz w:val="24"/>
        </w:rPr>
        <w:t> </w:t>
      </w:r>
      <w:r>
        <w:rPr>
          <w:sz w:val="24"/>
        </w:rPr>
        <w:t>inserted in the</w:t>
      </w:r>
      <w:r>
        <w:rPr>
          <w:spacing w:val="-1"/>
          <w:sz w:val="24"/>
        </w:rPr>
        <w:t> </w:t>
      </w:r>
      <w:r>
        <w:rPr>
          <w:sz w:val="24"/>
        </w:rPr>
        <w:t>body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instrument and expressed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57"/>
          <w:sz w:val="24"/>
        </w:rPr>
        <w:t> </w:t>
      </w:r>
      <w:r>
        <w:rPr>
          <w:sz w:val="24"/>
        </w:rPr>
        <w:t>language</w:t>
      </w:r>
      <w:r>
        <w:rPr>
          <w:spacing w:val="-2"/>
          <w:sz w:val="24"/>
        </w:rPr>
        <w:t> </w:t>
      </w:r>
      <w:r>
        <w:rPr>
          <w:sz w:val="24"/>
        </w:rPr>
        <w:t>employed in drawing up the instrument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unconditional</w:t>
      </w:r>
      <w:r>
        <w:rPr>
          <w:spacing w:val="-1"/>
          <w:sz w:val="24"/>
        </w:rPr>
        <w:t> </w:t>
      </w:r>
      <w:r>
        <w:rPr>
          <w:sz w:val="24"/>
        </w:rPr>
        <w:t>promise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pay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determinate</w:t>
      </w:r>
      <w:r>
        <w:rPr>
          <w:spacing w:val="-2"/>
          <w:sz w:val="24"/>
        </w:rPr>
        <w:t> </w:t>
      </w:r>
      <w:r>
        <w:rPr>
          <w:sz w:val="24"/>
        </w:rPr>
        <w:t>sum of</w:t>
      </w:r>
      <w:r>
        <w:rPr>
          <w:spacing w:val="-1"/>
          <w:sz w:val="24"/>
        </w:rPr>
        <w:t> </w:t>
      </w:r>
      <w:r>
        <w:rPr>
          <w:sz w:val="24"/>
        </w:rPr>
        <w:t>money;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statement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of payment;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statement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place where</w:t>
      </w:r>
      <w:r>
        <w:rPr>
          <w:spacing w:val="-2"/>
          <w:sz w:val="24"/>
        </w:rPr>
        <w:t> </w:t>
      </w:r>
      <w:r>
        <w:rPr>
          <w:sz w:val="24"/>
        </w:rPr>
        <w:t>payment</w:t>
      </w:r>
      <w:r>
        <w:rPr>
          <w:spacing w:val="-1"/>
          <w:sz w:val="24"/>
        </w:rPr>
        <w:t> </w:t>
      </w:r>
      <w:r>
        <w:rPr>
          <w:sz w:val="24"/>
        </w:rPr>
        <w:t>is to</w:t>
      </w:r>
      <w:r>
        <w:rPr>
          <w:spacing w:val="-1"/>
          <w:sz w:val="24"/>
        </w:rPr>
        <w:t> </w:t>
      </w:r>
      <w:r>
        <w:rPr>
          <w:sz w:val="24"/>
        </w:rPr>
        <w:t>be made;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1" w:after="0"/>
        <w:ind w:left="10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person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whom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to whose</w:t>
      </w:r>
      <w:r>
        <w:rPr>
          <w:spacing w:val="-2"/>
          <w:sz w:val="24"/>
        </w:rPr>
        <w:t> </w:t>
      </w:r>
      <w:r>
        <w:rPr>
          <w:sz w:val="24"/>
        </w:rPr>
        <w:t>order</w:t>
      </w:r>
      <w:r>
        <w:rPr>
          <w:spacing w:val="1"/>
          <w:sz w:val="24"/>
        </w:rPr>
        <w:t> </w:t>
      </w:r>
      <w:r>
        <w:rPr>
          <w:sz w:val="24"/>
        </w:rPr>
        <w:t>payment</w:t>
      </w:r>
      <w:r>
        <w:rPr>
          <w:spacing w:val="-1"/>
          <w:sz w:val="24"/>
        </w:rPr>
        <w:t> </w:t>
      </w:r>
      <w:r>
        <w:rPr>
          <w:sz w:val="24"/>
        </w:rPr>
        <w:t>is 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made;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statement of</w:t>
      </w:r>
      <w:r>
        <w:rPr>
          <w:spacing w:val="-1"/>
          <w:sz w:val="24"/>
        </w:rPr>
        <w:t> </w:t>
      </w:r>
      <w:r>
        <w:rPr>
          <w:sz w:val="24"/>
        </w:rPr>
        <w:t>the date</w:t>
      </w:r>
      <w:r>
        <w:rPr>
          <w:spacing w:val="-1"/>
          <w:sz w:val="24"/>
        </w:rPr>
        <w:t> </w:t>
      </w:r>
      <w:r>
        <w:rPr>
          <w:sz w:val="24"/>
        </w:rPr>
        <w:t>and of the</w:t>
      </w:r>
      <w:r>
        <w:rPr>
          <w:spacing w:val="-2"/>
          <w:sz w:val="24"/>
        </w:rPr>
        <w:t> </w:t>
      </w:r>
      <w:r>
        <w:rPr>
          <w:sz w:val="24"/>
        </w:rPr>
        <w:t>place</w:t>
      </w:r>
      <w:r>
        <w:rPr>
          <w:spacing w:val="1"/>
          <w:sz w:val="24"/>
        </w:rPr>
        <w:t> </w:t>
      </w:r>
      <w:r>
        <w:rPr>
          <w:sz w:val="24"/>
        </w:rPr>
        <w:t>where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promissory</w:t>
      </w:r>
      <w:r>
        <w:rPr>
          <w:spacing w:val="-5"/>
          <w:sz w:val="24"/>
        </w:rPr>
        <w:t> </w:t>
      </w:r>
      <w:r>
        <w:rPr>
          <w:sz w:val="24"/>
        </w:rPr>
        <w:t>note is issued;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80" w:bottom="280" w:left="1140" w:right="1120"/>
        </w:sect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72" w:after="0"/>
        <w:ind w:left="10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signature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who issues the</w:t>
      </w:r>
      <w:r>
        <w:rPr>
          <w:spacing w:val="-1"/>
          <w:sz w:val="24"/>
        </w:rPr>
        <w:t> </w:t>
      </w:r>
      <w:r>
        <w:rPr>
          <w:sz w:val="24"/>
        </w:rPr>
        <w:t>instrument (maker).</w:t>
      </w:r>
    </w:p>
    <w:p>
      <w:pPr>
        <w:pStyle w:val="BodyText"/>
        <w:spacing w:before="1"/>
        <w:rPr>
          <w:sz w:val="25"/>
        </w:rPr>
      </w:pPr>
    </w:p>
    <w:p>
      <w:pPr>
        <w:pStyle w:val="Heading2"/>
      </w:pPr>
      <w:r>
        <w:rPr/>
        <w:t>United</w:t>
      </w:r>
      <w:r>
        <w:rPr>
          <w:spacing w:val="-2"/>
        </w:rPr>
        <w:t> </w:t>
      </w:r>
      <w:r>
        <w:rPr/>
        <w:t>States</w:t>
      </w:r>
      <w:r>
        <w:rPr>
          <w:spacing w:val="-3"/>
        </w:rPr>
        <w:t> </w:t>
      </w:r>
      <w:r>
        <w:rPr/>
        <w:t>law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ind w:left="300" w:right="335"/>
      </w:pPr>
      <w:r>
        <w:rPr/>
        <w:t>In the </w:t>
      </w:r>
      <w:hyperlink r:id="rId22">
        <w:r>
          <w:rPr/>
          <w:t>United States,</w:t>
        </w:r>
      </w:hyperlink>
      <w:r>
        <w:rPr/>
        <w:t> a promissory note that meets certain conditions is a </w:t>
      </w:r>
      <w:hyperlink r:id="rId8">
        <w:r>
          <w:rPr/>
          <w:t>negotiable instrument</w:t>
        </w:r>
      </w:hyperlink>
      <w:r>
        <w:rPr>
          <w:spacing w:val="1"/>
        </w:rPr>
        <w:t> </w:t>
      </w:r>
      <w:r>
        <w:rPr/>
        <w:t>regulated by article 3 of the </w:t>
      </w:r>
      <w:hyperlink r:id="rId23">
        <w:r>
          <w:rPr/>
          <w:t>Uniform Commercial Code</w:t>
        </w:r>
      </w:hyperlink>
      <w:r>
        <w:rPr/>
        <w:t>. Negotiable promissory notes called</w:t>
      </w:r>
      <w:r>
        <w:rPr>
          <w:spacing w:val="1"/>
        </w:rPr>
        <w:t> </w:t>
      </w:r>
      <w:hyperlink r:id="rId13">
        <w:r>
          <w:rPr/>
          <w:t>mortgage notes</w:t>
        </w:r>
        <w:r>
          <w:rPr>
            <w:spacing w:val="1"/>
          </w:rPr>
          <w:t> </w:t>
        </w:r>
      </w:hyperlink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3"/>
        </w:rPr>
        <w:t> </w:t>
      </w:r>
      <w:r>
        <w:rPr/>
        <w:t>extensively</w:t>
      </w:r>
      <w:r>
        <w:rPr>
          <w:spacing w:val="-3"/>
        </w:rPr>
        <w:t> </w:t>
      </w:r>
      <w:r>
        <w:rPr/>
        <w:t>in</w:t>
      </w:r>
      <w:r>
        <w:rPr>
          <w:spacing w:val="4"/>
        </w:rPr>
        <w:t> </w:t>
      </w:r>
      <w:r>
        <w:rPr/>
        <w:t>combination</w:t>
      </w:r>
      <w:r>
        <w:rPr>
          <w:spacing w:val="2"/>
        </w:rPr>
        <w:t> </w:t>
      </w:r>
      <w:r>
        <w:rPr/>
        <w:t>with</w:t>
      </w:r>
      <w:r>
        <w:rPr>
          <w:spacing w:val="4"/>
        </w:rPr>
        <w:t> </w:t>
      </w:r>
      <w:hyperlink r:id="rId20">
        <w:r>
          <w:rPr/>
          <w:t>mortgages</w:t>
        </w:r>
        <w:r>
          <w:rPr>
            <w:spacing w:val="2"/>
          </w:rPr>
          <w:t> </w:t>
        </w:r>
      </w:hyperlink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financing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hyperlink r:id="rId24">
        <w:r>
          <w:rPr/>
          <w:t>real</w:t>
        </w:r>
      </w:hyperlink>
      <w:r>
        <w:rPr>
          <w:spacing w:val="1"/>
        </w:rPr>
        <w:t> </w:t>
      </w:r>
      <w:hyperlink r:id="rId24">
        <w:r>
          <w:rPr/>
          <w:t>estate </w:t>
        </w:r>
      </w:hyperlink>
      <w:r>
        <w:rPr/>
        <w:t>transactions. One prominent example is the </w:t>
      </w:r>
      <w:hyperlink r:id="rId25">
        <w:r>
          <w:rPr/>
          <w:t>Fannie Mae </w:t>
        </w:r>
      </w:hyperlink>
      <w:r>
        <w:rPr/>
        <w:t>model </w:t>
      </w:r>
      <w:hyperlink r:id="rId26">
        <w:r>
          <w:rPr/>
          <w:t>standard form contract</w:t>
        </w:r>
      </w:hyperlink>
      <w:r>
        <w:rPr>
          <w:spacing w:val="1"/>
        </w:rPr>
        <w:t> </w:t>
      </w:r>
      <w:r>
        <w:rPr/>
        <w:t>Multistate</w:t>
      </w:r>
      <w:r>
        <w:rPr>
          <w:spacing w:val="-2"/>
        </w:rPr>
        <w:t> </w:t>
      </w:r>
      <w:r>
        <w:rPr/>
        <w:t>Fixed-Rate Note 3200, which</w:t>
      </w:r>
      <w:r>
        <w:rPr>
          <w:spacing w:val="-1"/>
        </w:rPr>
        <w:t> </w:t>
      </w:r>
      <w:r>
        <w:rPr/>
        <w:t>is publicly</w:t>
      </w:r>
      <w:r>
        <w:rPr>
          <w:spacing w:val="-3"/>
        </w:rPr>
        <w:t> </w:t>
      </w:r>
      <w:r>
        <w:rPr/>
        <w:t>available.</w:t>
      </w:r>
      <w:hyperlink r:id="rId27">
        <w:r>
          <w:rPr>
            <w:vertAlign w:val="superscript"/>
          </w:rPr>
          <w:t>[4]</w:t>
        </w:r>
        <w:r>
          <w:rPr>
            <w:spacing w:val="-1"/>
            <w:vertAlign w:val="baseline"/>
          </w:rPr>
          <w:t> </w:t>
        </w:r>
      </w:hyperlink>
      <w:r>
        <w:rPr>
          <w:vertAlign w:val="baseline"/>
        </w:rPr>
        <w:t>Promissory</w:t>
      </w:r>
      <w:r>
        <w:rPr>
          <w:spacing w:val="-5"/>
          <w:vertAlign w:val="baseline"/>
        </w:rPr>
        <w:t> </w:t>
      </w:r>
      <w:r>
        <w:rPr>
          <w:vertAlign w:val="baseline"/>
        </w:rPr>
        <w:t>notes,</w:t>
      </w:r>
      <w:r>
        <w:rPr>
          <w:spacing w:val="-1"/>
          <w:vertAlign w:val="baseline"/>
        </w:rPr>
        <w:t> </w:t>
      </w:r>
      <w:r>
        <w:rPr>
          <w:vertAlign w:val="baseline"/>
        </w:rPr>
        <w:t>or </w:t>
      </w:r>
      <w:hyperlink r:id="rId28">
        <w:r>
          <w:rPr>
            <w:vertAlign w:val="baseline"/>
          </w:rPr>
          <w:t>commercial</w:t>
        </w:r>
      </w:hyperlink>
      <w:r>
        <w:rPr>
          <w:spacing w:val="-57"/>
          <w:vertAlign w:val="baseline"/>
        </w:rPr>
        <w:t> </w:t>
      </w:r>
      <w:hyperlink r:id="rId28">
        <w:r>
          <w:rPr>
            <w:vertAlign w:val="baseline"/>
          </w:rPr>
          <w:t>papers,</w:t>
        </w:r>
      </w:hyperlink>
      <w:r>
        <w:rPr>
          <w:vertAlign w:val="baseline"/>
        </w:rPr>
        <w:t> are also issued to provide capital to businesses. However, Promissory Notes act as a</w:t>
      </w:r>
      <w:r>
        <w:rPr>
          <w:spacing w:val="1"/>
          <w:vertAlign w:val="baseline"/>
        </w:rPr>
        <w:t> </w:t>
      </w:r>
      <w:r>
        <w:rPr>
          <w:vertAlign w:val="baseline"/>
        </w:rPr>
        <w:t>source</w:t>
      </w:r>
      <w:r>
        <w:rPr>
          <w:spacing w:val="-2"/>
          <w:vertAlign w:val="baseline"/>
        </w:rPr>
        <w:t> </w:t>
      </w:r>
      <w:r>
        <w:rPr>
          <w:vertAlign w:val="baseline"/>
        </w:rPr>
        <w:t>of Finance</w:t>
      </w:r>
      <w:r>
        <w:rPr>
          <w:spacing w:val="-1"/>
          <w:vertAlign w:val="baseline"/>
        </w:rPr>
        <w:t> </w:t>
      </w:r>
      <w:r>
        <w:rPr>
          <w:vertAlign w:val="baseline"/>
        </w:rPr>
        <w:t>to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company's creditors.</w:t>
      </w:r>
    </w:p>
    <w:p>
      <w:pPr>
        <w:pStyle w:val="BodyText"/>
        <w:spacing w:before="2"/>
      </w:pPr>
    </w:p>
    <w:p>
      <w:pPr>
        <w:pStyle w:val="BodyText"/>
        <w:ind w:left="300" w:right="578"/>
      </w:pPr>
      <w:r>
        <w:rPr/>
        <w:t>The</w:t>
      </w:r>
      <w:r>
        <w:rPr>
          <w:spacing w:val="-3"/>
        </w:rPr>
        <w:t> </w:t>
      </w:r>
      <w:r>
        <w:rPr/>
        <w:t>various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law</w:t>
      </w:r>
      <w:r>
        <w:rPr>
          <w:spacing w:val="1"/>
        </w:rPr>
        <w:t> </w:t>
      </w:r>
      <w:r>
        <w:rPr/>
        <w:t>enactments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Uniform Commercial</w:t>
      </w:r>
      <w:r>
        <w:rPr>
          <w:spacing w:val="-1"/>
        </w:rPr>
        <w:t> </w:t>
      </w:r>
      <w:r>
        <w:rPr/>
        <w:t>Code</w:t>
      </w:r>
      <w:r>
        <w:rPr>
          <w:spacing w:val="-2"/>
        </w:rPr>
        <w:t> </w:t>
      </w:r>
      <w:r>
        <w:rPr/>
        <w:t>define</w:t>
      </w:r>
      <w:r>
        <w:rPr>
          <w:spacing w:val="-1"/>
        </w:rPr>
        <w:t> </w:t>
      </w:r>
      <w:r>
        <w:rPr/>
        <w:t>what is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57"/>
        </w:rPr>
        <w:t> </w:t>
      </w:r>
      <w:r>
        <w:rPr/>
        <w:t>not</w:t>
      </w:r>
      <w:r>
        <w:rPr>
          <w:spacing w:val="-1"/>
        </w:rPr>
        <w:t> </w:t>
      </w:r>
      <w:r>
        <w:rPr/>
        <w:t>a promissory</w:t>
      </w:r>
      <w:r>
        <w:rPr>
          <w:spacing w:val="-5"/>
        </w:rPr>
        <w:t> </w:t>
      </w:r>
      <w:r>
        <w:rPr/>
        <w:t>note, in</w:t>
      </w:r>
      <w:r>
        <w:rPr>
          <w:spacing w:val="2"/>
        </w:rPr>
        <w:t> </w:t>
      </w:r>
      <w:r>
        <w:rPr/>
        <w:t>section 3-104(d):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8433"/>
        <w:gridCol w:w="716"/>
      </w:tblGrid>
      <w:tr>
        <w:trPr>
          <w:trHeight w:val="2207" w:hRule="atLeast"/>
        </w:trPr>
        <w:tc>
          <w:tcPr>
            <w:tcW w:w="615" w:type="dxa"/>
          </w:tcPr>
          <w:p>
            <w:pPr>
              <w:pStyle w:val="TableParagraph"/>
              <w:spacing w:line="600" w:lineRule="exact"/>
              <w:ind w:left="200"/>
              <w:rPr>
                <w:b/>
                <w:sz w:val="53"/>
              </w:rPr>
            </w:pPr>
            <w:r>
              <w:rPr>
                <w:b/>
                <w:w w:val="100"/>
                <w:sz w:val="53"/>
              </w:rPr>
              <w:t>“</w:t>
            </w:r>
          </w:p>
        </w:tc>
        <w:tc>
          <w:tcPr>
            <w:tcW w:w="8433" w:type="dxa"/>
          </w:tcPr>
          <w:p>
            <w:pPr>
              <w:pStyle w:val="TableParagraph"/>
              <w:spacing w:line="266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3-104.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NEGOTIABLE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INSTRUMENT.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before="1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...</w:t>
            </w: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70" w:lineRule="atLeast"/>
              <w:ind w:left="14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(d)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promise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order other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check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instrument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if,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is issued or first comes into possession of a holder, it contains a conspicuous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statement, however expressed, to the effect that the promise or order is not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negotiable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is not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 instrument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governed by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Article.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sz w:val="58"/>
              </w:rPr>
            </w:pPr>
          </w:p>
          <w:p>
            <w:pPr>
              <w:pStyle w:val="TableParagraph"/>
              <w:spacing w:before="11"/>
              <w:rPr>
                <w:sz w:val="80"/>
              </w:rPr>
            </w:pPr>
          </w:p>
          <w:p>
            <w:pPr>
              <w:pStyle w:val="TableParagraph"/>
              <w:spacing w:line="590" w:lineRule="exact"/>
              <w:ind w:left="249"/>
              <w:rPr>
                <w:b/>
                <w:sz w:val="53"/>
              </w:rPr>
            </w:pPr>
            <w:r>
              <w:rPr>
                <w:b/>
                <w:w w:val="100"/>
                <w:sz w:val="53"/>
              </w:rPr>
              <w:t>”</w:t>
            </w:r>
          </w:p>
        </w:tc>
      </w:tr>
    </w:tbl>
    <w:p>
      <w:pPr>
        <w:pStyle w:val="BodyText"/>
        <w:spacing w:before="1"/>
        <w:rPr>
          <w:sz w:val="29"/>
        </w:rPr>
      </w:pPr>
    </w:p>
    <w:p>
      <w:pPr>
        <w:pStyle w:val="BodyText"/>
        <w:spacing w:before="90"/>
        <w:ind w:left="300"/>
      </w:pPr>
      <w:r>
        <w:rPr/>
        <w:t>Thus,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writing containing</w:t>
      </w:r>
      <w:r>
        <w:rPr>
          <w:spacing w:val="-1"/>
        </w:rPr>
        <w:t> </w:t>
      </w:r>
      <w:r>
        <w:rPr/>
        <w:t>such a</w:t>
      </w:r>
      <w:r>
        <w:rPr>
          <w:spacing w:val="-2"/>
        </w:rPr>
        <w:t> </w:t>
      </w:r>
      <w:r>
        <w:rPr/>
        <w:t>disclaimer</w:t>
      </w:r>
      <w:r>
        <w:rPr>
          <w:spacing w:val="1"/>
        </w:rPr>
        <w:t> </w:t>
      </w:r>
      <w:r>
        <w:rPr/>
        <w:t>removes</w:t>
      </w:r>
      <w:r>
        <w:rPr>
          <w:spacing w:val="-1"/>
        </w:rPr>
        <w:t> </w:t>
      </w:r>
      <w:r>
        <w:rPr/>
        <w:t>such a</w:t>
      </w:r>
      <w:r>
        <w:rPr>
          <w:spacing w:val="-3"/>
        </w:rPr>
        <w:t> </w:t>
      </w:r>
      <w:r>
        <w:rPr/>
        <w:t>writing</w:t>
      </w:r>
      <w:r>
        <w:rPr>
          <w:spacing w:val="-1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definition of</w:t>
      </w:r>
    </w:p>
    <w:p>
      <w:pPr>
        <w:spacing w:before="0"/>
        <w:ind w:left="300" w:right="0" w:firstLine="0"/>
        <w:jc w:val="left"/>
        <w:rPr>
          <w:sz w:val="24"/>
        </w:rPr>
      </w:pPr>
      <w:r>
        <w:rPr>
          <w:i/>
          <w:sz w:val="24"/>
        </w:rPr>
        <w:t>negotiable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instrument</w:t>
      </w:r>
      <w:r>
        <w:rPr>
          <w:sz w:val="24"/>
        </w:rPr>
        <w:t>, instead</w:t>
      </w:r>
      <w:r>
        <w:rPr>
          <w:spacing w:val="-1"/>
          <w:sz w:val="24"/>
        </w:rPr>
        <w:t> </w:t>
      </w:r>
      <w:r>
        <w:rPr>
          <w:sz w:val="24"/>
        </w:rPr>
        <w:t>simply</w:t>
      </w:r>
      <w:r>
        <w:rPr>
          <w:spacing w:val="-5"/>
          <w:sz w:val="24"/>
        </w:rPr>
        <w:t> </w:t>
      </w:r>
      <w:r>
        <w:rPr>
          <w:sz w:val="24"/>
        </w:rPr>
        <w:t>memorializing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hyperlink r:id="rId29">
        <w:r>
          <w:rPr>
            <w:sz w:val="24"/>
          </w:rPr>
          <w:t>contract</w:t>
        </w:r>
      </w:hyperlink>
      <w:r>
        <w:rPr>
          <w:sz w:val="24"/>
        </w:rPr>
        <w:t>.</w:t>
      </w:r>
    </w:p>
    <w:p>
      <w:pPr>
        <w:pStyle w:val="BodyText"/>
        <w:spacing w:before="1"/>
        <w:rPr>
          <w:sz w:val="25"/>
        </w:rPr>
      </w:pPr>
    </w:p>
    <w:p>
      <w:pPr>
        <w:pStyle w:val="Heading2"/>
      </w:pPr>
      <w:r>
        <w:rPr/>
        <w:t>British</w:t>
      </w:r>
      <w:r>
        <w:rPr>
          <w:spacing w:val="-2"/>
        </w:rPr>
        <w:t> </w:t>
      </w:r>
      <w:r>
        <w:rPr/>
        <w:t>law</w:t>
      </w:r>
    </w:p>
    <w:p>
      <w:pPr>
        <w:pStyle w:val="BodyText"/>
        <w:rPr>
          <w:b/>
          <w:sz w:val="20"/>
        </w:rPr>
      </w:pPr>
    </w:p>
    <w:p>
      <w:pPr>
        <w:pStyle w:val="BodyText"/>
        <w:spacing w:after="1"/>
        <w:rPr>
          <w:b/>
          <w:sz w:val="1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8435"/>
        <w:gridCol w:w="713"/>
      </w:tblGrid>
      <w:tr>
        <w:trPr>
          <w:trHeight w:val="4194" w:hRule="atLeast"/>
        </w:trPr>
        <w:tc>
          <w:tcPr>
            <w:tcW w:w="615" w:type="dxa"/>
          </w:tcPr>
          <w:p>
            <w:pPr>
              <w:pStyle w:val="TableParagraph"/>
              <w:spacing w:before="35"/>
              <w:ind w:left="200"/>
              <w:rPr>
                <w:b/>
                <w:sz w:val="53"/>
              </w:rPr>
            </w:pPr>
            <w:r>
              <w:rPr>
                <w:b/>
                <w:w w:val="100"/>
                <w:sz w:val="53"/>
              </w:rPr>
              <w:t>“</w:t>
            </w:r>
          </w:p>
        </w:tc>
        <w:tc>
          <w:tcPr>
            <w:tcW w:w="8435" w:type="dxa"/>
          </w:tcPr>
          <w:p>
            <w:pPr>
              <w:pStyle w:val="TableParagraph"/>
              <w:spacing w:before="29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83. BILLS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 EXCHANGE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ACT 1882.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IV.</w:t>
            </w:r>
            <w:hyperlink r:id="rId30">
              <w:r>
                <w:rPr>
                  <w:sz w:val="24"/>
                  <w:vertAlign w:val="superscript"/>
                </w:rPr>
                <w:t>[5]</w:t>
              </w:r>
            </w:hyperlink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...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Promissory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defined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</w:tabs>
              <w:spacing w:line="240" w:lineRule="auto" w:before="0" w:after="0"/>
              <w:ind w:left="148" w:right="268" w:firstLine="0"/>
              <w:jc w:val="left"/>
              <w:rPr>
                <w:sz w:val="24"/>
              </w:rPr>
            </w:pPr>
            <w:r>
              <w:rPr>
                <w:sz w:val="24"/>
              </w:rPr>
              <w:t>A promissory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note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 unconditional promise in writing made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another signed by the maker, engaging to pay, on demand or at a fixed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determinable future time, a sum certain in money, to, or to the order of, a specified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person 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 bearer.</w:t>
            </w: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</w:tabs>
              <w:spacing w:line="240" w:lineRule="auto" w:before="0" w:after="0"/>
              <w:ind w:left="148" w:right="246" w:firstLine="0"/>
              <w:jc w:val="lef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instrument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form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payable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maker’s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order 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note within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meaning of this section unless and until it is indorsed 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 maker.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</w:tabs>
              <w:spacing w:line="261" w:lineRule="exact" w:before="0" w:after="0"/>
              <w:ind w:left="429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not invalid 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reason only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that it contains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also a pledge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collateral</w:t>
            </w:r>
          </w:p>
        </w:tc>
        <w:tc>
          <w:tcPr>
            <w:tcW w:w="713" w:type="dxa"/>
          </w:tcPr>
          <w:p>
            <w:pPr>
              <w:pStyle w:val="TableParagraph"/>
              <w:rPr>
                <w:b/>
                <w:sz w:val="58"/>
              </w:rPr>
            </w:pPr>
          </w:p>
          <w:p>
            <w:pPr>
              <w:pStyle w:val="TableParagraph"/>
              <w:rPr>
                <w:b/>
                <w:sz w:val="58"/>
              </w:rPr>
            </w:pPr>
          </w:p>
          <w:p>
            <w:pPr>
              <w:pStyle w:val="TableParagraph"/>
              <w:rPr>
                <w:b/>
                <w:sz w:val="58"/>
              </w:rPr>
            </w:pPr>
          </w:p>
          <w:p>
            <w:pPr>
              <w:pStyle w:val="TableParagraph"/>
              <w:rPr>
                <w:b/>
                <w:sz w:val="58"/>
              </w:rPr>
            </w:pPr>
          </w:p>
          <w:p>
            <w:pPr>
              <w:pStyle w:val="TableParagraph"/>
              <w:spacing w:before="8"/>
              <w:rPr>
                <w:b/>
                <w:sz w:val="79"/>
              </w:rPr>
            </w:pPr>
          </w:p>
          <w:p>
            <w:pPr>
              <w:pStyle w:val="TableParagraph"/>
              <w:spacing w:line="590" w:lineRule="exact" w:before="1"/>
              <w:ind w:left="247"/>
              <w:rPr>
                <w:b/>
                <w:sz w:val="53"/>
              </w:rPr>
            </w:pPr>
            <w:r>
              <w:rPr>
                <w:b/>
                <w:w w:val="100"/>
                <w:sz w:val="53"/>
              </w:rPr>
              <w:t>”</w:t>
            </w:r>
          </w:p>
        </w:tc>
      </w:tr>
    </w:tbl>
    <w:p>
      <w:pPr>
        <w:spacing w:after="0" w:line="590" w:lineRule="exact"/>
        <w:rPr>
          <w:sz w:val="53"/>
        </w:rPr>
        <w:sectPr>
          <w:pgSz w:w="12240" w:h="15840"/>
          <w:pgMar w:top="1360" w:bottom="280" w:left="1140" w:right="1120"/>
        </w:sectPr>
      </w:pPr>
    </w:p>
    <w:p>
      <w:pPr>
        <w:pStyle w:val="BodyText"/>
        <w:spacing w:before="83"/>
        <w:ind w:left="864"/>
      </w:pPr>
      <w:r>
        <w:rPr/>
        <w:t>security</w:t>
      </w:r>
      <w:r>
        <w:rPr>
          <w:spacing w:val="-6"/>
        </w:rPr>
        <w:t> </w:t>
      </w:r>
      <w:r>
        <w:rPr/>
        <w:t>with authority</w:t>
      </w:r>
      <w:r>
        <w:rPr>
          <w:spacing w:val="-5"/>
        </w:rPr>
        <w:t> </w:t>
      </w:r>
      <w:r>
        <w:rPr/>
        <w:t>to</w:t>
      </w:r>
      <w:r>
        <w:rPr>
          <w:spacing w:val="2"/>
        </w:rPr>
        <w:t> </w:t>
      </w:r>
      <w:r>
        <w:rPr/>
        <w:t>sell or dispose thereof.</w:t>
      </w:r>
    </w:p>
    <w:p>
      <w:pPr>
        <w:pStyle w:val="BodyText"/>
        <w:spacing w:before="2"/>
      </w:pPr>
    </w:p>
    <w:p>
      <w:pPr>
        <w:pStyle w:val="BodyText"/>
        <w:spacing w:before="1"/>
        <w:ind w:left="864" w:right="1022"/>
      </w:pPr>
      <w:r>
        <w:rPr/>
        <w:t>(4)A</w:t>
      </w:r>
      <w:r>
        <w:rPr>
          <w:spacing w:val="-1"/>
        </w:rPr>
        <w:t> </w:t>
      </w:r>
      <w:r>
        <w:rPr/>
        <w:t>note</w:t>
      </w:r>
      <w:r>
        <w:rPr>
          <w:spacing w:val="-2"/>
        </w:rPr>
        <w:t> </w:t>
      </w:r>
      <w:r>
        <w:rPr/>
        <w:t>which is,</w:t>
      </w:r>
      <w:r>
        <w:rPr>
          <w:spacing w:val="-1"/>
        </w:rPr>
        <w:t> </w:t>
      </w:r>
      <w:r>
        <w:rPr/>
        <w:t>or on the</w:t>
      </w:r>
      <w:r>
        <w:rPr>
          <w:spacing w:val="-1"/>
        </w:rPr>
        <w:t> </w:t>
      </w:r>
      <w:r>
        <w:rPr/>
        <w:t>face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it purports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be, both</w:t>
      </w:r>
      <w:r>
        <w:rPr>
          <w:spacing w:val="-1"/>
        </w:rPr>
        <w:t> </w:t>
      </w:r>
      <w:r>
        <w:rPr/>
        <w:t>made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payable</w:t>
      </w:r>
      <w:r>
        <w:rPr>
          <w:spacing w:val="-1"/>
        </w:rPr>
        <w:t> </w:t>
      </w:r>
      <w:r>
        <w:rPr/>
        <w:t>within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British</w:t>
      </w:r>
      <w:r>
        <w:rPr>
          <w:spacing w:val="2"/>
        </w:rPr>
        <w:t> </w:t>
      </w:r>
      <w:r>
        <w:rPr/>
        <w:t>Islands is an inland note. Any</w:t>
      </w:r>
      <w:r>
        <w:rPr>
          <w:spacing w:val="-5"/>
        </w:rPr>
        <w:t> </w:t>
      </w:r>
      <w:r>
        <w:rPr/>
        <w:t>other</w:t>
      </w:r>
      <w:r>
        <w:rPr>
          <w:spacing w:val="-2"/>
        </w:rPr>
        <w:t> </w:t>
      </w:r>
      <w:r>
        <w:rPr/>
        <w:t>note</w:t>
      </w:r>
      <w:r>
        <w:rPr>
          <w:spacing w:val="-1"/>
        </w:rPr>
        <w:t> </w:t>
      </w:r>
      <w:r>
        <w:rPr/>
        <w:t>is a</w:t>
      </w:r>
      <w:r>
        <w:rPr>
          <w:spacing w:val="-1"/>
        </w:rPr>
        <w:t> </w:t>
      </w:r>
      <w:r>
        <w:rPr/>
        <w:t>foreign note.</w:t>
      </w:r>
    </w:p>
    <w:p>
      <w:pPr>
        <w:pStyle w:val="BodyText"/>
        <w:spacing w:before="9"/>
        <w:rPr>
          <w:sz w:val="37"/>
        </w:rPr>
      </w:pPr>
    </w:p>
    <w:p>
      <w:pPr>
        <w:pStyle w:val="Heading1"/>
      </w:pPr>
      <w:r>
        <w:rPr/>
        <w:t>History</w:t>
      </w:r>
    </w:p>
    <w:p>
      <w:pPr>
        <w:pStyle w:val="BodyText"/>
        <w:spacing w:before="275"/>
        <w:ind w:left="300" w:right="369"/>
      </w:pPr>
      <w:r>
        <w:rPr/>
        <w:t>Historically, promissory notes have acted as a form of privately issued </w:t>
      </w:r>
      <w:hyperlink r:id="rId31">
        <w:r>
          <w:rPr/>
          <w:t>currency.</w:t>
        </w:r>
      </w:hyperlink>
      <w:r>
        <w:rPr/>
        <w:t> </w:t>
      </w:r>
      <w:hyperlink r:id="rId32">
        <w:r>
          <w:rPr/>
          <w:t>Flying cash </w:t>
        </w:r>
      </w:hyperlink>
      <w:r>
        <w:rPr/>
        <w:t>or</w:t>
      </w:r>
      <w:r>
        <w:rPr>
          <w:spacing w:val="1"/>
        </w:rPr>
        <w:t> </w:t>
      </w:r>
      <w:r>
        <w:rPr>
          <w:i/>
        </w:rPr>
        <w:t>feiqian </w:t>
      </w:r>
      <w:r>
        <w:rPr/>
        <w:t>was a promissory note used during the </w:t>
      </w:r>
      <w:hyperlink r:id="rId33">
        <w:r>
          <w:rPr/>
          <w:t>Tang dynasty </w:t>
        </w:r>
      </w:hyperlink>
      <w:r>
        <w:rPr/>
        <w:t>(618 – 907). Flying cash was</w:t>
      </w:r>
      <w:r>
        <w:rPr>
          <w:spacing w:val="1"/>
        </w:rPr>
        <w:t> </w:t>
      </w:r>
      <w:r>
        <w:rPr/>
        <w:t>regularly</w:t>
      </w:r>
      <w:r>
        <w:rPr>
          <w:spacing w:val="-5"/>
        </w:rPr>
        <w:t> </w:t>
      </w:r>
      <w:r>
        <w:rPr/>
        <w:t>used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Chinese</w:t>
      </w:r>
      <w:r>
        <w:rPr>
          <w:spacing w:val="-1"/>
        </w:rPr>
        <w:t> </w:t>
      </w:r>
      <w:r>
        <w:rPr/>
        <w:t>tea</w:t>
      </w:r>
      <w:r>
        <w:rPr>
          <w:spacing w:val="-2"/>
        </w:rPr>
        <w:t> </w:t>
      </w:r>
      <w:r>
        <w:rPr/>
        <w:t>merchants, and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exchanged for hard</w:t>
      </w:r>
      <w:r>
        <w:rPr>
          <w:spacing w:val="1"/>
        </w:rPr>
        <w:t> </w:t>
      </w:r>
      <w:r>
        <w:rPr/>
        <w:t>currency</w:t>
      </w:r>
      <w:r>
        <w:rPr>
          <w:spacing w:val="-5"/>
        </w:rPr>
        <w:t> </w:t>
      </w:r>
      <w:r>
        <w:rPr/>
        <w:t>at provincial</w:t>
      </w:r>
      <w:r>
        <w:rPr>
          <w:spacing w:val="-57"/>
        </w:rPr>
        <w:t> </w:t>
      </w:r>
      <w:r>
        <w:rPr/>
        <w:t>capitals.</w:t>
      </w:r>
      <w:hyperlink r:id="rId34">
        <w:r>
          <w:rPr>
            <w:vertAlign w:val="superscript"/>
          </w:rPr>
          <w:t>[6]</w:t>
        </w:r>
        <w:r>
          <w:rPr>
            <w:vertAlign w:val="baseline"/>
          </w:rPr>
          <w:t> </w:t>
        </w:r>
      </w:hyperlink>
      <w:r>
        <w:rPr>
          <w:vertAlign w:val="baseline"/>
        </w:rPr>
        <w:t>According to tradition, in 1325 a promissory note was signed in </w:t>
      </w:r>
      <w:hyperlink r:id="rId35">
        <w:r>
          <w:rPr>
            <w:vertAlign w:val="baseline"/>
          </w:rPr>
          <w:t>Milan</w:t>
        </w:r>
      </w:hyperlink>
      <w:r>
        <w:rPr>
          <w:vertAlign w:val="baseline"/>
        </w:rPr>
        <w:t>. There's</w:t>
      </w:r>
      <w:r>
        <w:rPr>
          <w:spacing w:val="1"/>
          <w:vertAlign w:val="baseline"/>
        </w:rPr>
        <w:t> </w:t>
      </w:r>
      <w:r>
        <w:rPr>
          <w:vertAlign w:val="baseline"/>
        </w:rPr>
        <w:t>constance of promissory notes being issued in 1384 between </w:t>
      </w:r>
      <w:hyperlink r:id="rId36">
        <w:r>
          <w:rPr>
            <w:vertAlign w:val="baseline"/>
          </w:rPr>
          <w:t>Genova </w:t>
        </w:r>
      </w:hyperlink>
      <w:r>
        <w:rPr>
          <w:vertAlign w:val="baseline"/>
        </w:rPr>
        <w:t>and </w:t>
      </w:r>
      <w:hyperlink r:id="rId37">
        <w:r>
          <w:rPr>
            <w:vertAlign w:val="baseline"/>
          </w:rPr>
          <w:t>Barcelona</w:t>
        </w:r>
      </w:hyperlink>
      <w:r>
        <w:rPr>
          <w:vertAlign w:val="baseline"/>
        </w:rPr>
        <w:t>, although</w:t>
      </w:r>
      <w:r>
        <w:rPr>
          <w:spacing w:val="1"/>
          <w:vertAlign w:val="baseline"/>
        </w:rPr>
        <w:t> </w:t>
      </w:r>
      <w:r>
        <w:rPr>
          <w:vertAlign w:val="baseline"/>
        </w:rPr>
        <w:t>the letters themselves are lost. The same happens for the ones issued in Valencia in 1371 by</w:t>
      </w:r>
      <w:r>
        <w:rPr>
          <w:spacing w:val="1"/>
          <w:vertAlign w:val="baseline"/>
        </w:rPr>
        <w:t> </w:t>
      </w:r>
      <w:hyperlink r:id="rId38">
        <w:r>
          <w:rPr>
            <w:vertAlign w:val="baseline"/>
          </w:rPr>
          <w:t>Bernat de Codinachs </w:t>
        </w:r>
      </w:hyperlink>
      <w:r>
        <w:rPr>
          <w:vertAlign w:val="baseline"/>
        </w:rPr>
        <w:t>for Manuel d'Entença, a merchant from </w:t>
      </w:r>
      <w:hyperlink r:id="rId39">
        <w:r>
          <w:rPr>
            <w:vertAlign w:val="baseline"/>
          </w:rPr>
          <w:t>Huesca </w:t>
        </w:r>
      </w:hyperlink>
      <w:r>
        <w:rPr>
          <w:vertAlign w:val="baseline"/>
        </w:rPr>
        <w:t>(then part of the </w:t>
      </w:r>
      <w:hyperlink r:id="rId40">
        <w:r>
          <w:rPr>
            <w:vertAlign w:val="baseline"/>
          </w:rPr>
          <w:t>Crown of</w:t>
        </w:r>
      </w:hyperlink>
      <w:r>
        <w:rPr>
          <w:spacing w:val="1"/>
          <w:vertAlign w:val="baseline"/>
        </w:rPr>
        <w:t> </w:t>
      </w:r>
      <w:hyperlink r:id="rId40">
        <w:r>
          <w:rPr>
            <w:vertAlign w:val="baseline"/>
          </w:rPr>
          <w:t>Aragon</w:t>
        </w:r>
      </w:hyperlink>
      <w:r>
        <w:rPr>
          <w:vertAlign w:val="baseline"/>
        </w:rPr>
        <w:t>), amounting a total of 100 florins.</w:t>
      </w:r>
      <w:hyperlink r:id="rId41">
        <w:r>
          <w:rPr>
            <w:vertAlign w:val="superscript"/>
          </w:rPr>
          <w:t>[7]</w:t>
        </w:r>
        <w:r>
          <w:rPr>
            <w:vertAlign w:val="baseline"/>
          </w:rPr>
          <w:t> </w:t>
        </w:r>
      </w:hyperlink>
      <w:r>
        <w:rPr>
          <w:vertAlign w:val="baseline"/>
        </w:rPr>
        <w:t>In all these cases, the promissory notes were used as</w:t>
      </w:r>
      <w:r>
        <w:rPr>
          <w:spacing w:val="-57"/>
          <w:vertAlign w:val="baseline"/>
        </w:rPr>
        <w:t> </w:t>
      </w:r>
      <w:r>
        <w:rPr>
          <w:vertAlign w:val="baseline"/>
        </w:rPr>
        <w:t>a rudimentary system of paper-money, for the amounts issued could not be easily transported in</w:t>
      </w:r>
      <w:r>
        <w:rPr>
          <w:spacing w:val="1"/>
          <w:vertAlign w:val="baseline"/>
        </w:rPr>
        <w:t> </w:t>
      </w:r>
      <w:r>
        <w:rPr>
          <w:vertAlign w:val="baseline"/>
        </w:rPr>
        <w:t>metal coins between the cities involved. </w:t>
      </w:r>
      <w:hyperlink r:id="rId42">
        <w:r>
          <w:rPr>
            <w:vertAlign w:val="baseline"/>
          </w:rPr>
          <w:t>Ginaldo Giovanni Battista Strozzi </w:t>
        </w:r>
      </w:hyperlink>
      <w:r>
        <w:rPr>
          <w:vertAlign w:val="baseline"/>
        </w:rPr>
        <w:t>issued an early form</w:t>
      </w:r>
      <w:r>
        <w:rPr>
          <w:spacing w:val="1"/>
          <w:vertAlign w:val="baseline"/>
        </w:rPr>
        <w:t> </w:t>
      </w:r>
      <w:r>
        <w:rPr>
          <w:vertAlign w:val="baseline"/>
        </w:rPr>
        <w:t>of promissory note in </w:t>
      </w:r>
      <w:hyperlink r:id="rId43">
        <w:r>
          <w:rPr>
            <w:vertAlign w:val="baseline"/>
          </w:rPr>
          <w:t>Medina del Campo </w:t>
        </w:r>
      </w:hyperlink>
      <w:r>
        <w:rPr>
          <w:vertAlign w:val="baseline"/>
        </w:rPr>
        <w:t>(</w:t>
      </w:r>
      <w:hyperlink r:id="rId44">
        <w:r>
          <w:rPr>
            <w:vertAlign w:val="baseline"/>
          </w:rPr>
          <w:t>Spain</w:t>
        </w:r>
      </w:hyperlink>
      <w:r>
        <w:rPr>
          <w:vertAlign w:val="baseline"/>
        </w:rPr>
        <w:t>), against the city of </w:t>
      </w:r>
      <w:hyperlink r:id="rId45">
        <w:r>
          <w:rPr>
            <w:vertAlign w:val="baseline"/>
          </w:rPr>
          <w:t>Besançon </w:t>
        </w:r>
      </w:hyperlink>
      <w:r>
        <w:rPr>
          <w:vertAlign w:val="baseline"/>
        </w:rPr>
        <w:t>in 1553.</w:t>
      </w:r>
      <w:hyperlink r:id="rId46">
        <w:r>
          <w:rPr>
            <w:vertAlign w:val="superscript"/>
          </w:rPr>
          <w:t>[8]</w:t>
        </w:r>
      </w:hyperlink>
      <w:r>
        <w:rPr>
          <w:spacing w:val="1"/>
          <w:vertAlign w:val="baseline"/>
        </w:rPr>
        <w:t> </w:t>
      </w:r>
      <w:r>
        <w:rPr>
          <w:vertAlign w:val="baseline"/>
        </w:rPr>
        <w:t>However, there exists notice of promissory notes being in used in the Mediterranean commerce</w:t>
      </w:r>
      <w:r>
        <w:rPr>
          <w:spacing w:val="1"/>
          <w:vertAlign w:val="baseline"/>
        </w:rPr>
        <w:t> </w:t>
      </w:r>
      <w:r>
        <w:rPr>
          <w:vertAlign w:val="baseline"/>
        </w:rPr>
        <w:t>well</w:t>
      </w:r>
      <w:r>
        <w:rPr>
          <w:spacing w:val="-1"/>
          <w:vertAlign w:val="baseline"/>
        </w:rPr>
        <w:t> </w:t>
      </w:r>
      <w:r>
        <w:rPr>
          <w:vertAlign w:val="baseline"/>
        </w:rPr>
        <w:t>before</w:t>
      </w:r>
      <w:r>
        <w:rPr>
          <w:spacing w:val="-1"/>
          <w:vertAlign w:val="baseline"/>
        </w:rPr>
        <w:t> </w:t>
      </w:r>
      <w:r>
        <w:rPr>
          <w:vertAlign w:val="baseline"/>
        </w:rPr>
        <w:t>that date.</w:t>
      </w:r>
    </w:p>
    <w:p>
      <w:pPr>
        <w:pStyle w:val="BodyText"/>
        <w:spacing w:before="11"/>
      </w:pPr>
    </w:p>
    <w:p>
      <w:pPr>
        <w:pStyle w:val="Heading1"/>
      </w:pPr>
      <w:r>
        <w:rPr/>
        <w:t>Difference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IOU</w:t>
      </w:r>
    </w:p>
    <w:p>
      <w:pPr>
        <w:pStyle w:val="BodyText"/>
        <w:spacing w:before="274"/>
        <w:ind w:left="300" w:right="544"/>
      </w:pPr>
      <w:r>
        <w:rPr/>
        <w:t>Promissory notes differ from </w:t>
      </w:r>
      <w:hyperlink r:id="rId47">
        <w:r>
          <w:rPr/>
          <w:t>IOUs </w:t>
        </w:r>
      </w:hyperlink>
      <w:r>
        <w:rPr/>
        <w:t>in that they contain a specific promise to pay, rather than</w:t>
      </w:r>
      <w:r>
        <w:rPr>
          <w:spacing w:val="1"/>
        </w:rPr>
        <w:t> </w:t>
      </w:r>
      <w:r>
        <w:rPr/>
        <w:t>simply acknowledging that a debt exists. In common speech, other terms, such as "</w:t>
      </w:r>
      <w:hyperlink r:id="rId48">
        <w:r>
          <w:rPr/>
          <w:t>loan</w:t>
        </w:r>
      </w:hyperlink>
      <w:r>
        <w:rPr/>
        <w:t>", "</w:t>
      </w:r>
      <w:hyperlink r:id="rId49">
        <w:r>
          <w:rPr/>
          <w:t>loan</w:t>
        </w:r>
      </w:hyperlink>
      <w:r>
        <w:rPr>
          <w:spacing w:val="-57"/>
        </w:rPr>
        <w:t> </w:t>
      </w:r>
      <w:hyperlink r:id="rId49">
        <w:r>
          <w:rPr/>
          <w:t>agreement</w:t>
        </w:r>
      </w:hyperlink>
      <w:r>
        <w:rPr/>
        <w:t>",</w:t>
      </w:r>
      <w:r>
        <w:rPr>
          <w:spacing w:val="1"/>
        </w:rPr>
        <w:t> </w:t>
      </w:r>
      <w:r>
        <w:rPr/>
        <w:t>and "loan contract"</w:t>
      </w:r>
      <w:r>
        <w:rPr>
          <w:spacing w:val="-2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interchangeably</w:t>
      </w:r>
      <w:r>
        <w:rPr>
          <w:spacing w:val="-3"/>
        </w:rPr>
        <w:t> </w:t>
      </w:r>
      <w:r>
        <w:rPr/>
        <w:t>with "promissory</w:t>
      </w:r>
      <w:r>
        <w:rPr>
          <w:spacing w:val="-5"/>
        </w:rPr>
        <w:t> </w:t>
      </w:r>
      <w:r>
        <w:rPr/>
        <w:t>note"</w:t>
      </w:r>
      <w:r>
        <w:rPr>
          <w:spacing w:val="-2"/>
        </w:rPr>
        <w:t> </w:t>
      </w:r>
      <w:r>
        <w:rPr/>
        <w:t>but these</w:t>
      </w:r>
      <w:r>
        <w:rPr>
          <w:spacing w:val="-57"/>
        </w:rPr>
        <w:t> </w:t>
      </w:r>
      <w:r>
        <w:rPr/>
        <w:t>terms</w:t>
      </w:r>
      <w:r>
        <w:rPr>
          <w:spacing w:val="-1"/>
        </w:rPr>
        <w:t> </w:t>
      </w:r>
      <w:r>
        <w:rPr/>
        <w:t>do not have</w:t>
      </w:r>
      <w:r>
        <w:rPr>
          <w:spacing w:val="-2"/>
        </w:rPr>
        <w:t> </w:t>
      </w:r>
      <w:r>
        <w:rPr/>
        <w:t>the same legal meaning.</w:t>
      </w:r>
    </w:p>
    <w:p>
      <w:pPr>
        <w:pStyle w:val="BodyText"/>
        <w:spacing w:before="11"/>
      </w:pPr>
    </w:p>
    <w:p>
      <w:pPr>
        <w:pStyle w:val="Heading1"/>
      </w:pPr>
      <w:r>
        <w:rPr/>
        <w:t>Difference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loan</w:t>
      </w:r>
      <w:r>
        <w:rPr>
          <w:spacing w:val="-2"/>
        </w:rPr>
        <w:t> </w:t>
      </w:r>
      <w:r>
        <w:rPr/>
        <w:t>contract</w:t>
      </w:r>
    </w:p>
    <w:p>
      <w:pPr>
        <w:pStyle w:val="BodyText"/>
        <w:spacing w:before="274"/>
        <w:ind w:left="300" w:right="526"/>
      </w:pPr>
      <w:r>
        <w:rPr/>
        <w:t>Whereas promissory notes are evidence of a loan, they are not the same as loan agreements. In</w:t>
      </w:r>
      <w:r>
        <w:rPr>
          <w:spacing w:val="1"/>
        </w:rPr>
        <w:t> </w:t>
      </w:r>
      <w:r>
        <w:rPr/>
        <w:t>fact,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loan</w:t>
      </w:r>
      <w:r>
        <w:rPr>
          <w:spacing w:val="1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is legally</w:t>
      </w:r>
      <w:r>
        <w:rPr>
          <w:spacing w:val="-5"/>
        </w:rPr>
        <w:t> </w:t>
      </w:r>
      <w:r>
        <w:rPr/>
        <w:t>distinct</w:t>
      </w:r>
      <w:r>
        <w:rPr>
          <w:spacing w:val="-1"/>
        </w:rPr>
        <w:t> </w:t>
      </w:r>
      <w:r>
        <w:rPr/>
        <w:t>from any</w:t>
      </w:r>
      <w:r>
        <w:rPr>
          <w:spacing w:val="-3"/>
        </w:rPr>
        <w:t> </w:t>
      </w:r>
      <w:r>
        <w:rPr/>
        <w:t>promissory</w:t>
      </w:r>
      <w:r>
        <w:rPr>
          <w:spacing w:val="-6"/>
        </w:rPr>
        <w:t> </w:t>
      </w:r>
      <w:r>
        <w:rPr/>
        <w:t>notes</w:t>
      </w:r>
      <w:r>
        <w:rPr>
          <w:spacing w:val="1"/>
        </w:rPr>
        <w:t> </w:t>
      </w:r>
      <w:r>
        <w:rPr/>
        <w:t>associated therewith.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loan</w:t>
      </w:r>
      <w:r>
        <w:rPr>
          <w:spacing w:val="-1"/>
        </w:rPr>
        <w:t> </w:t>
      </w:r>
      <w:r>
        <w:rPr/>
        <w:t>agreement contains</w:t>
      </w:r>
      <w:r>
        <w:rPr>
          <w:spacing w:val="2"/>
        </w:rPr>
        <w:t> </w:t>
      </w:r>
      <w:r>
        <w:rPr/>
        <w:t>all 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terms and conditions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loan contract.</w:t>
      </w:r>
    </w:p>
    <w:p>
      <w:pPr>
        <w:pStyle w:val="BodyText"/>
        <w:spacing w:before="10"/>
      </w:pPr>
    </w:p>
    <w:p>
      <w:pPr>
        <w:pStyle w:val="Heading1"/>
      </w:pPr>
      <w:r>
        <w:rPr/>
        <w:t>Negotiability</w:t>
      </w:r>
    </w:p>
    <w:p>
      <w:pPr>
        <w:pStyle w:val="BodyText"/>
        <w:spacing w:before="275"/>
        <w:ind w:left="300" w:right="516"/>
      </w:pPr>
      <w:hyperlink r:id="rId8">
        <w:r>
          <w:rPr/>
          <w:t>Negotiable instruments </w:t>
        </w:r>
      </w:hyperlink>
      <w:r>
        <w:rPr/>
        <w:t>are unconditional and impose few to no duties on the issuer or payee</w:t>
      </w:r>
      <w:r>
        <w:rPr>
          <w:spacing w:val="1"/>
        </w:rPr>
        <w:t> </w:t>
      </w:r>
      <w:r>
        <w:rPr/>
        <w:t>other than payment. In the United States, whether a promissory note is a negotiable instrument</w:t>
      </w:r>
      <w:r>
        <w:rPr>
          <w:spacing w:val="1"/>
        </w:rPr>
        <w:t> </w:t>
      </w:r>
      <w:r>
        <w:rPr/>
        <w:t>can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significant</w:t>
      </w:r>
      <w:r>
        <w:rPr>
          <w:spacing w:val="-1"/>
        </w:rPr>
        <w:t> </w:t>
      </w:r>
      <w:r>
        <w:rPr/>
        <w:t>legal</w:t>
      </w:r>
      <w:r>
        <w:rPr>
          <w:spacing w:val="2"/>
        </w:rPr>
        <w:t> </w:t>
      </w:r>
      <w:r>
        <w:rPr/>
        <w:t>impacts,</w:t>
      </w:r>
      <w:r>
        <w:rPr>
          <w:spacing w:val="-1"/>
        </w:rPr>
        <w:t> </w:t>
      </w:r>
      <w:r>
        <w:rPr/>
        <w:t>as only</w:t>
      </w:r>
      <w:r>
        <w:rPr>
          <w:spacing w:val="-5"/>
        </w:rPr>
        <w:t> </w:t>
      </w:r>
      <w:r>
        <w:rPr/>
        <w:t>negotiable</w:t>
      </w:r>
      <w:r>
        <w:rPr>
          <w:spacing w:val="-1"/>
        </w:rPr>
        <w:t> </w:t>
      </w:r>
      <w:r>
        <w:rPr/>
        <w:t>instruments are</w:t>
      </w:r>
      <w:r>
        <w:rPr>
          <w:spacing w:val="-2"/>
        </w:rPr>
        <w:t> </w:t>
      </w:r>
      <w:r>
        <w:rPr/>
        <w:t>subject to Article</w:t>
      </w:r>
      <w:r>
        <w:rPr>
          <w:spacing w:val="-1"/>
        </w:rPr>
        <w:t> </w:t>
      </w:r>
      <w:r>
        <w:rPr/>
        <w:t>3 of</w:t>
      </w:r>
      <w:r>
        <w:rPr>
          <w:spacing w:val="-3"/>
        </w:rPr>
        <w:t> </w:t>
      </w:r>
      <w:r>
        <w:rPr/>
        <w:t>the</w:t>
      </w:r>
      <w:r>
        <w:rPr>
          <w:spacing w:val="-57"/>
        </w:rPr>
        <w:t> </w:t>
      </w:r>
      <w:r>
        <w:rPr/>
        <w:t>Uniform Commercial Code and the application of the </w:t>
      </w:r>
      <w:hyperlink r:id="rId50">
        <w:r>
          <w:rPr/>
          <w:t>holder in due course </w:t>
        </w:r>
      </w:hyperlink>
      <w:r>
        <w:rPr/>
        <w:t>rule.</w:t>
      </w:r>
      <w:hyperlink r:id="rId9">
        <w:r>
          <w:rPr>
            <w:vertAlign w:val="superscript"/>
          </w:rPr>
          <w:t>[1]</w:t>
        </w:r>
        <w:r>
          <w:rPr>
            <w:vertAlign w:val="baseline"/>
          </w:rPr>
          <w:t> </w:t>
        </w:r>
      </w:hyperlink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negotiability of </w:t>
      </w:r>
      <w:hyperlink r:id="rId13">
        <w:r>
          <w:rPr>
            <w:vertAlign w:val="baseline"/>
          </w:rPr>
          <w:t>mortgage notes </w:t>
        </w:r>
      </w:hyperlink>
      <w:r>
        <w:rPr>
          <w:vertAlign w:val="baseline"/>
        </w:rPr>
        <w:t>has been debated, particularly due to the obligations and</w:t>
      </w:r>
      <w:r>
        <w:rPr>
          <w:spacing w:val="1"/>
          <w:vertAlign w:val="baseline"/>
        </w:rPr>
        <w:t> </w:t>
      </w:r>
      <w:r>
        <w:rPr>
          <w:vertAlign w:val="baseline"/>
        </w:rPr>
        <w:t>"baggage" associated with mortgages; however, in mortgage notes are often determined to be</w:t>
      </w:r>
      <w:r>
        <w:rPr>
          <w:spacing w:val="1"/>
          <w:vertAlign w:val="baseline"/>
        </w:rPr>
        <w:t> </w:t>
      </w:r>
      <w:r>
        <w:rPr>
          <w:vertAlign w:val="baseline"/>
        </w:rPr>
        <w:t>negotiable</w:t>
      </w:r>
      <w:r>
        <w:rPr>
          <w:spacing w:val="-1"/>
          <w:vertAlign w:val="baseline"/>
        </w:rPr>
        <w:t> </w:t>
      </w:r>
      <w:r>
        <w:rPr>
          <w:vertAlign w:val="baseline"/>
        </w:rPr>
        <w:t>instruments.</w:t>
      </w:r>
      <w:hyperlink r:id="rId9">
        <w:r>
          <w:rPr>
            <w:vertAlign w:val="superscript"/>
          </w:rPr>
          <w:t>[1]</w:t>
        </w:r>
      </w:hyperlink>
    </w:p>
    <w:p>
      <w:pPr>
        <w:spacing w:after="0"/>
        <w:sectPr>
          <w:pgSz w:w="12240" w:h="15840"/>
          <w:pgMar w:top="1500" w:bottom="280" w:left="1140" w:right="1120"/>
        </w:sectPr>
      </w:pPr>
    </w:p>
    <w:p>
      <w:pPr>
        <w:pStyle w:val="BodyText"/>
        <w:spacing w:before="72"/>
        <w:ind w:left="300" w:right="457"/>
      </w:pPr>
      <w:r>
        <w:rPr/>
        <w:t>In</w:t>
      </w:r>
      <w:r>
        <w:rPr>
          <w:spacing w:val="-1"/>
        </w:rPr>
        <w:t> </w:t>
      </w:r>
      <w:r>
        <w:rPr/>
        <w:t>the United</w:t>
      </w:r>
      <w:r>
        <w:rPr>
          <w:spacing w:val="-1"/>
        </w:rPr>
        <w:t> </w:t>
      </w:r>
      <w:r>
        <w:rPr/>
        <w:t>States,</w:t>
      </w:r>
      <w:r>
        <w:rPr>
          <w:spacing w:val="-1"/>
        </w:rPr>
        <w:t> </w:t>
      </w:r>
      <w:r>
        <w:rPr/>
        <w:t>the Non-Negotiable Long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Promissory</w:t>
      </w:r>
      <w:r>
        <w:rPr>
          <w:spacing w:val="-6"/>
        </w:rPr>
        <w:t> </w:t>
      </w:r>
      <w:r>
        <w:rPr/>
        <w:t>Note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 document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when</w:t>
      </w:r>
      <w:r>
        <w:rPr>
          <w:spacing w:val="-57"/>
        </w:rPr>
        <w:t> </w:t>
      </w:r>
      <w:r>
        <w:rPr/>
        <w:t>negotiability</w:t>
      </w:r>
      <w:r>
        <w:rPr>
          <w:spacing w:val="-4"/>
        </w:rPr>
        <w:t> </w:t>
      </w:r>
      <w:r>
        <w:rPr/>
        <w:t>is not required.</w:t>
      </w:r>
      <w:hyperlink r:id="rId51">
        <w:r>
          <w:rPr>
            <w:vertAlign w:val="superscript"/>
          </w:rPr>
          <w:t>[9]</w:t>
        </w:r>
      </w:hyperlink>
    </w:p>
    <w:p>
      <w:pPr>
        <w:pStyle w:val="BodyText"/>
        <w:spacing w:before="10"/>
      </w:pPr>
    </w:p>
    <w:p>
      <w:pPr>
        <w:pStyle w:val="Heading1"/>
      </w:pPr>
      <w:r>
        <w:rPr/>
        <w:t>References</w:t>
      </w:r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240" w:lineRule="auto" w:before="276" w:after="0"/>
        <w:ind w:left="1020" w:right="747" w:hanging="360"/>
        <w:jc w:val="left"/>
        <w:rPr>
          <w:sz w:val="22"/>
        </w:rPr>
      </w:pPr>
      <w:r>
        <w:rPr>
          <w:sz w:val="22"/>
        </w:rPr>
        <w:t>Whaley</w:t>
      </w:r>
      <w:r>
        <w:rPr>
          <w:spacing w:val="-4"/>
          <w:sz w:val="22"/>
        </w:rPr>
        <w:t> </w:t>
      </w:r>
      <w:r>
        <w:rPr>
          <w:sz w:val="22"/>
        </w:rPr>
        <w:t>DJ.</w:t>
      </w:r>
      <w:r>
        <w:rPr>
          <w:spacing w:val="-4"/>
          <w:sz w:val="22"/>
        </w:rPr>
        <w:t> </w:t>
      </w:r>
      <w:r>
        <w:rPr>
          <w:sz w:val="22"/>
        </w:rPr>
        <w:t>(2012).</w:t>
      </w:r>
      <w:r>
        <w:rPr>
          <w:spacing w:val="-3"/>
          <w:sz w:val="22"/>
        </w:rPr>
        <w:t> </w:t>
      </w:r>
      <w:hyperlink r:id="rId52">
        <w:r>
          <w:rPr>
            <w:sz w:val="22"/>
          </w:rPr>
          <w:t>Mortgage</w:t>
        </w:r>
        <w:r>
          <w:rPr>
            <w:spacing w:val="-1"/>
            <w:sz w:val="22"/>
          </w:rPr>
          <w:t> </w:t>
        </w:r>
        <w:r>
          <w:rPr>
            <w:sz w:val="22"/>
          </w:rPr>
          <w:t>Foreclosures,</w:t>
        </w:r>
        <w:r>
          <w:rPr>
            <w:spacing w:val="-1"/>
            <w:sz w:val="22"/>
          </w:rPr>
          <w:t> </w:t>
        </w:r>
        <w:r>
          <w:rPr>
            <w:sz w:val="22"/>
          </w:rPr>
          <w:t>Promissory</w:t>
        </w:r>
        <w:r>
          <w:rPr>
            <w:spacing w:val="-4"/>
            <w:sz w:val="22"/>
          </w:rPr>
          <w:t> </w:t>
        </w:r>
        <w:r>
          <w:rPr>
            <w:sz w:val="22"/>
          </w:rPr>
          <w:t>Notes,</w:t>
        </w:r>
        <w:r>
          <w:rPr>
            <w:spacing w:val="-1"/>
            <w:sz w:val="22"/>
          </w:rPr>
          <w:t> </w:t>
        </w:r>
        <w:r>
          <w:rPr>
            <w:sz w:val="22"/>
          </w:rPr>
          <w:t>and</w:t>
        </w:r>
        <w:r>
          <w:rPr>
            <w:spacing w:val="-3"/>
            <w:sz w:val="22"/>
          </w:rPr>
          <w:t> </w:t>
        </w:r>
        <w:r>
          <w:rPr>
            <w:sz w:val="22"/>
          </w:rPr>
          <w:t>the</w:t>
        </w:r>
        <w:r>
          <w:rPr>
            <w:spacing w:val="-1"/>
            <w:sz w:val="22"/>
          </w:rPr>
          <w:t> </w:t>
        </w:r>
        <w:r>
          <w:rPr>
            <w:sz w:val="22"/>
          </w:rPr>
          <w:t>Uniform</w:t>
        </w:r>
        <w:r>
          <w:rPr>
            <w:spacing w:val="-6"/>
            <w:sz w:val="22"/>
          </w:rPr>
          <w:t> </w:t>
        </w:r>
        <w:r>
          <w:rPr>
            <w:sz w:val="22"/>
          </w:rPr>
          <w:t>Commercial</w:t>
        </w:r>
      </w:hyperlink>
      <w:r>
        <w:rPr>
          <w:spacing w:val="-52"/>
          <w:sz w:val="22"/>
        </w:rPr>
        <w:t> </w:t>
      </w:r>
      <w:hyperlink r:id="rId52">
        <w:r>
          <w:rPr>
            <w:sz w:val="22"/>
          </w:rPr>
          <w:t>Code.</w:t>
        </w:r>
        <w:r>
          <w:rPr>
            <w:spacing w:val="-1"/>
            <w:sz w:val="22"/>
          </w:rPr>
          <w:t> </w:t>
        </w:r>
      </w:hyperlink>
      <w:r>
        <w:rPr>
          <w:i/>
          <w:sz w:val="22"/>
        </w:rPr>
        <w:t>Western State University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Law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Review</w:t>
      </w:r>
      <w:r>
        <w:rPr>
          <w:sz w:val="22"/>
        </w:rPr>
        <w:t>. </w:t>
      </w:r>
      <w:hyperlink r:id="rId53">
        <w:r>
          <w:rPr>
            <w:sz w:val="22"/>
          </w:rPr>
          <w:t>LexisNexis entry</w:t>
        </w:r>
      </w:hyperlink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252" w:lineRule="exact" w:before="1" w:after="0"/>
        <w:ind w:left="1020" w:right="0" w:hanging="361"/>
        <w:jc w:val="left"/>
        <w:rPr>
          <w:sz w:val="22"/>
        </w:rPr>
      </w:pPr>
      <w:hyperlink r:id="rId54">
        <w:r>
          <w:rPr>
            <w:sz w:val="22"/>
          </w:rPr>
          <w:t>The</w:t>
        </w:r>
        <w:r>
          <w:rPr>
            <w:spacing w:val="-3"/>
            <w:sz w:val="22"/>
          </w:rPr>
          <w:t> </w:t>
        </w:r>
        <w:r>
          <w:rPr>
            <w:sz w:val="22"/>
          </w:rPr>
          <w:t>Promissory</w:t>
        </w:r>
        <w:r>
          <w:rPr>
            <w:spacing w:val="-5"/>
            <w:sz w:val="22"/>
          </w:rPr>
          <w:t> </w:t>
        </w:r>
        <w:r>
          <w:rPr>
            <w:sz w:val="22"/>
          </w:rPr>
          <w:t>Note.</w:t>
        </w:r>
        <w:r>
          <w:rPr>
            <w:spacing w:val="-2"/>
            <w:sz w:val="22"/>
          </w:rPr>
          <w:t> </w:t>
        </w:r>
      </w:hyperlink>
      <w:r>
        <w:rPr>
          <w:sz w:val="22"/>
        </w:rPr>
        <w:t>ExpertLaw.com.</w:t>
      </w:r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252" w:lineRule="exact" w:before="0" w:after="0"/>
        <w:ind w:left="1020" w:right="0" w:hanging="361"/>
        <w:jc w:val="left"/>
        <w:rPr>
          <w:sz w:val="22"/>
        </w:rPr>
      </w:pPr>
      <w:hyperlink r:id="rId55">
        <w:r>
          <w:rPr>
            <w:sz w:val="22"/>
          </w:rPr>
          <w:t>http://www.jus.uio.no/english/services/library/treaties/09/9-03/bills-exchange-notes.xml</w:t>
        </w:r>
      </w:hyperlink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240" w:lineRule="auto" w:before="0" w:after="0"/>
        <w:ind w:left="660" w:right="6017" w:firstLine="0"/>
        <w:jc w:val="left"/>
        <w:rPr>
          <w:sz w:val="22"/>
        </w:rPr>
      </w:pPr>
      <w:hyperlink r:id="rId56">
        <w:r>
          <w:rPr>
            <w:sz w:val="22"/>
          </w:rPr>
          <w:t>Single-family notes. </w:t>
        </w:r>
      </w:hyperlink>
      <w:r>
        <w:rPr>
          <w:sz w:val="22"/>
        </w:rPr>
        <w:t>Fannie Mae.</w:t>
      </w:r>
      <w:r>
        <w:rPr>
          <w:spacing w:val="-52"/>
          <w:sz w:val="22"/>
        </w:rPr>
        <w:t> </w:t>
      </w:r>
      <w:r>
        <w:rPr>
          <w:sz w:val="22"/>
        </w:rPr>
        <w:t>5.</w:t>
      </w:r>
      <w:r>
        <w:rPr>
          <w:spacing w:val="30"/>
          <w:sz w:val="22"/>
        </w:rPr>
        <w:t> </w:t>
      </w:r>
      <w:hyperlink r:id="rId57">
        <w:r>
          <w:rPr>
            <w:sz w:val="22"/>
          </w:rPr>
          <w:t>[1]</w:t>
        </w:r>
      </w:hyperlink>
      <w:hyperlink r:id="rId57">
        <w:r>
          <w:rPr>
            <w:sz w:val="22"/>
          </w:rPr>
          <w:t>[2]</w:t>
        </w:r>
      </w:hyperlink>
    </w:p>
    <w:p>
      <w:pPr>
        <w:pStyle w:val="ListParagraph"/>
        <w:numPr>
          <w:ilvl w:val="0"/>
          <w:numId w:val="4"/>
        </w:numPr>
        <w:tabs>
          <w:tab w:pos="1021" w:val="left" w:leader="none"/>
        </w:tabs>
        <w:spacing w:line="240" w:lineRule="auto" w:before="0" w:after="0"/>
        <w:ind w:left="1020" w:right="460" w:hanging="360"/>
        <w:jc w:val="left"/>
        <w:rPr>
          <w:sz w:val="22"/>
        </w:rPr>
      </w:pPr>
      <w:r>
        <w:rPr>
          <w:sz w:val="22"/>
        </w:rPr>
        <w:t>William N. Goetzmann; K. Geert Rouwenhorst (2005). </w:t>
      </w:r>
      <w:r>
        <w:rPr>
          <w:i/>
          <w:sz w:val="22"/>
        </w:rPr>
        <w:t>The Origins of Value: The Financial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Innovations that Created Modern Capital Markets</w:t>
      </w:r>
      <w:r>
        <w:rPr>
          <w:sz w:val="22"/>
        </w:rPr>
        <w:t>. Oxford University Press. p. 68. </w:t>
      </w:r>
      <w:hyperlink r:id="rId58">
        <w:r>
          <w:rPr>
            <w:sz w:val="22"/>
          </w:rPr>
          <w:t>ISBN </w:t>
        </w:r>
      </w:hyperlink>
      <w:r>
        <w:rPr>
          <w:sz w:val="22"/>
        </w:rPr>
        <w:t>978-0-</w:t>
      </w:r>
      <w:r>
        <w:rPr>
          <w:spacing w:val="-52"/>
          <w:sz w:val="22"/>
        </w:rPr>
        <w:t> </w:t>
      </w:r>
      <w:r>
        <w:rPr>
          <w:sz w:val="22"/>
        </w:rPr>
        <w:t>19-517571-4.</w:t>
      </w:r>
    </w:p>
    <w:p>
      <w:pPr>
        <w:pStyle w:val="ListParagraph"/>
        <w:numPr>
          <w:ilvl w:val="0"/>
          <w:numId w:val="4"/>
        </w:numPr>
        <w:tabs>
          <w:tab w:pos="1021" w:val="left" w:leader="none"/>
        </w:tabs>
        <w:spacing w:line="240" w:lineRule="auto" w:before="0" w:after="0"/>
        <w:ind w:left="1020" w:right="1131" w:hanging="360"/>
        <w:jc w:val="left"/>
        <w:rPr>
          <w:sz w:val="22"/>
        </w:rPr>
      </w:pPr>
      <w:r>
        <w:rPr>
          <w:sz w:val="22"/>
        </w:rPr>
        <w:t>As noted by </w:t>
      </w:r>
      <w:hyperlink r:id="rId59">
        <w:r>
          <w:rPr>
            <w:sz w:val="22"/>
          </w:rPr>
          <w:t>Manuel Sanchis Guarner </w:t>
        </w:r>
      </w:hyperlink>
      <w:r>
        <w:rPr>
          <w:sz w:val="22"/>
        </w:rPr>
        <w:t>in </w:t>
      </w:r>
      <w:r>
        <w:rPr>
          <w:i/>
          <w:sz w:val="22"/>
        </w:rPr>
        <w:t>La Ciutat de València</w:t>
      </w:r>
      <w:r>
        <w:rPr>
          <w:sz w:val="22"/>
        </w:rPr>
        <w:t>. Ajuntament de València,</w:t>
      </w:r>
      <w:r>
        <w:rPr>
          <w:spacing w:val="-53"/>
          <w:sz w:val="22"/>
        </w:rPr>
        <w:t> </w:t>
      </w:r>
      <w:r>
        <w:rPr>
          <w:sz w:val="22"/>
        </w:rPr>
        <w:t>València.</w:t>
      </w:r>
      <w:r>
        <w:rPr>
          <w:spacing w:val="-1"/>
          <w:sz w:val="22"/>
        </w:rPr>
        <w:t> </w:t>
      </w:r>
      <w:r>
        <w:rPr>
          <w:sz w:val="22"/>
        </w:rPr>
        <w:t>Cinquena Edició</w:t>
      </w:r>
      <w:r>
        <w:rPr>
          <w:spacing w:val="-3"/>
          <w:sz w:val="22"/>
        </w:rPr>
        <w:t> </w:t>
      </w:r>
      <w:r>
        <w:rPr>
          <w:sz w:val="22"/>
        </w:rPr>
        <w:t>1989, plana</w:t>
      </w:r>
      <w:r>
        <w:rPr>
          <w:spacing w:val="-2"/>
          <w:sz w:val="22"/>
        </w:rPr>
        <w:t> </w:t>
      </w:r>
      <w:r>
        <w:rPr>
          <w:sz w:val="22"/>
        </w:rPr>
        <w:t>172. Quote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hyperlink r:id="rId60">
        <w:r>
          <w:rPr>
            <w:sz w:val="22"/>
          </w:rPr>
          <w:t>Catalan</w:t>
        </w:r>
      </w:hyperlink>
    </w:p>
    <w:p>
      <w:pPr>
        <w:pStyle w:val="BodyText"/>
        <w:spacing w:before="5"/>
      </w:pPr>
    </w:p>
    <w:p>
      <w:pPr>
        <w:spacing w:before="0"/>
        <w:ind w:left="1020" w:right="374" w:firstLine="0"/>
        <w:jc w:val="left"/>
        <w:rPr>
          <w:sz w:val="22"/>
        </w:rPr>
      </w:pPr>
      <w:r>
        <w:rPr>
          <w:sz w:val="22"/>
        </w:rPr>
        <w:t>Onorables senyors, nosaltres havem pres ací en Monsó, C florins de cambi de mossén Manuel</w:t>
      </w:r>
      <w:r>
        <w:rPr>
          <w:spacing w:val="1"/>
          <w:sz w:val="22"/>
        </w:rPr>
        <w:t> </w:t>
      </w:r>
      <w:r>
        <w:rPr>
          <w:sz w:val="22"/>
        </w:rPr>
        <w:t>d'Entença..., vos plàcia complir e donar aquí en València, per ell al honrat En Bernat de</w:t>
      </w:r>
      <w:r>
        <w:rPr>
          <w:spacing w:val="1"/>
          <w:sz w:val="22"/>
        </w:rPr>
        <w:t> </w:t>
      </w:r>
      <w:r>
        <w:rPr>
          <w:sz w:val="22"/>
        </w:rPr>
        <w:t>Codinachs, vista la present. Per la lletra que us enviam, vos fem saber aquells havíem ops. Plàtia-</w:t>
      </w:r>
      <w:r>
        <w:rPr>
          <w:spacing w:val="-52"/>
          <w:sz w:val="22"/>
        </w:rPr>
        <w:t> </w:t>
      </w:r>
      <w:r>
        <w:rPr>
          <w:sz w:val="22"/>
        </w:rPr>
        <w:t>us,</w:t>
      </w:r>
      <w:r>
        <w:rPr>
          <w:spacing w:val="-1"/>
          <w:sz w:val="22"/>
        </w:rPr>
        <w:t> </w:t>
      </w:r>
      <w:r>
        <w:rPr>
          <w:sz w:val="22"/>
        </w:rPr>
        <w:t>senyors, aquest</w:t>
      </w:r>
      <w:r>
        <w:rPr>
          <w:spacing w:val="1"/>
          <w:sz w:val="22"/>
        </w:rPr>
        <w:t> </w:t>
      </w:r>
      <w:r>
        <w:rPr>
          <w:sz w:val="22"/>
        </w:rPr>
        <w:t>cambi</w:t>
      </w:r>
      <w:r>
        <w:rPr>
          <w:spacing w:val="1"/>
          <w:sz w:val="22"/>
        </w:rPr>
        <w:t> </w:t>
      </w:r>
      <w:r>
        <w:rPr>
          <w:sz w:val="22"/>
        </w:rPr>
        <w:t>aja bon compliment.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hyperlink r:id="rId61">
        <w:r>
          <w:rPr>
            <w:sz w:val="22"/>
          </w:rPr>
          <w:t>http://www.delsolmedina.com/La%20primera%20letra%20de%20cambio.htm</w:t>
        </w:r>
      </w:hyperlink>
      <w:r>
        <w:rPr>
          <w:sz w:val="22"/>
        </w:rPr>
        <w:t>)</w:t>
      </w:r>
    </w:p>
    <w:p>
      <w:pPr>
        <w:pStyle w:val="ListParagraph"/>
        <w:numPr>
          <w:ilvl w:val="0"/>
          <w:numId w:val="4"/>
        </w:numPr>
        <w:tabs>
          <w:tab w:pos="1021" w:val="left" w:leader="none"/>
        </w:tabs>
        <w:spacing w:line="240" w:lineRule="auto" w:before="2" w:after="0"/>
        <w:ind w:left="1020" w:right="0" w:hanging="361"/>
        <w:jc w:val="left"/>
        <w:rPr>
          <w:sz w:val="22"/>
        </w:rPr>
      </w:pPr>
      <w:hyperlink r:id="rId62">
        <w:r>
          <w:rPr>
            <w:sz w:val="22"/>
          </w:rPr>
          <w:t>Non-Negotiable</w:t>
        </w:r>
        <w:r>
          <w:rPr>
            <w:spacing w:val="-2"/>
            <w:sz w:val="22"/>
          </w:rPr>
          <w:t> </w:t>
        </w:r>
        <w:r>
          <w:rPr>
            <w:sz w:val="22"/>
          </w:rPr>
          <w:t>Long</w:t>
        </w:r>
        <w:r>
          <w:rPr>
            <w:spacing w:val="-4"/>
            <w:sz w:val="22"/>
          </w:rPr>
          <w:t> </w:t>
        </w:r>
        <w:r>
          <w:rPr>
            <w:sz w:val="22"/>
          </w:rPr>
          <w:t>Form</w:t>
        </w:r>
        <w:r>
          <w:rPr>
            <w:spacing w:val="-5"/>
            <w:sz w:val="22"/>
          </w:rPr>
          <w:t> </w:t>
        </w:r>
        <w:r>
          <w:rPr>
            <w:sz w:val="22"/>
          </w:rPr>
          <w:t>Promissory</w:t>
        </w:r>
        <w:r>
          <w:rPr>
            <w:spacing w:val="-4"/>
            <w:sz w:val="22"/>
          </w:rPr>
          <w:t> </w:t>
        </w:r>
        <w:r>
          <w:rPr>
            <w:sz w:val="22"/>
          </w:rPr>
          <w:t>Note.</w:t>
        </w:r>
        <w:r>
          <w:rPr>
            <w:spacing w:val="-1"/>
            <w:sz w:val="22"/>
          </w:rPr>
          <w:t> </w:t>
        </w:r>
      </w:hyperlink>
      <w:r>
        <w:rPr>
          <w:sz w:val="22"/>
        </w:rPr>
        <w:t>Practical Law</w:t>
      </w:r>
      <w:r>
        <w:rPr>
          <w:spacing w:val="-2"/>
          <w:sz w:val="22"/>
        </w:rPr>
        <w:t> </w:t>
      </w:r>
      <w:r>
        <w:rPr>
          <w:sz w:val="22"/>
        </w:rPr>
        <w:t>Company.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0" w:right="318" w:firstLine="0"/>
        <w:jc w:val="right"/>
        <w:rPr>
          <w:rFonts w:ascii="Arial"/>
          <w:i/>
          <w:sz w:val="16"/>
        </w:rPr>
      </w:pPr>
      <w:r>
        <w:rPr>
          <w:rFonts w:ascii="Arial"/>
          <w:i/>
          <w:spacing w:val="-1"/>
          <w:sz w:val="16"/>
        </w:rPr>
        <w:t>Source:</w:t>
      </w:r>
      <w:r>
        <w:rPr>
          <w:rFonts w:ascii="Arial"/>
          <w:i/>
          <w:spacing w:val="29"/>
          <w:sz w:val="16"/>
        </w:rPr>
        <w:t> </w:t>
      </w:r>
      <w:hyperlink r:id="rId63">
        <w:r>
          <w:rPr>
            <w:rFonts w:ascii="Arial"/>
            <w:i/>
            <w:spacing w:val="-1"/>
            <w:sz w:val="16"/>
          </w:rPr>
          <w:t>http://en.wikipedia.org/wiki/Promissory_note</w:t>
        </w:r>
      </w:hyperlink>
    </w:p>
    <w:p>
      <w:pPr>
        <w:spacing w:before="1"/>
        <w:ind w:left="0" w:right="315" w:firstLine="0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</w:rPr>
        <w:t>April,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2014</w:t>
      </w:r>
    </w:p>
    <w:sectPr>
      <w:pgSz w:w="12240" w:h="15840"/>
      <w:pgMar w:top="1360" w:bottom="280" w:left="11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6"/>
      <w:numFmt w:val="decimal"/>
      <w:lvlText w:val="%1."/>
      <w:lvlJc w:val="left"/>
      <w:pPr>
        <w:ind w:left="1020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20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148" w:hanging="281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9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9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8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87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7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46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6" w:hanging="2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2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0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0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300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en.wikipedia.org/wiki/Legal_instrument" TargetMode="External"/><Relationship Id="rId6" Type="http://schemas.openxmlformats.org/officeDocument/2006/relationships/hyperlink" Target="http://en.wikipedia.org/wiki/Financial_instrument" TargetMode="External"/><Relationship Id="rId7" Type="http://schemas.openxmlformats.org/officeDocument/2006/relationships/hyperlink" Target="http://en.wikipedia.org/wiki/Money" TargetMode="External"/><Relationship Id="rId8" Type="http://schemas.openxmlformats.org/officeDocument/2006/relationships/hyperlink" Target="http://en.wikipedia.org/wiki/Negotiable_instrument" TargetMode="External"/><Relationship Id="rId9" Type="http://schemas.openxmlformats.org/officeDocument/2006/relationships/hyperlink" Target="http://en.wikipedia.org/wiki/Promissory_note#cite_note-Whaley-1" TargetMode="External"/><Relationship Id="rId10" Type="http://schemas.openxmlformats.org/officeDocument/2006/relationships/hyperlink" Target="http://en.wikipedia.org/wiki/Accounting" TargetMode="External"/><Relationship Id="rId11" Type="http://schemas.openxmlformats.org/officeDocument/2006/relationships/hyperlink" Target="http://en.wikipedia.org/wiki/Accounts_payable" TargetMode="External"/><Relationship Id="rId12" Type="http://schemas.openxmlformats.org/officeDocument/2006/relationships/hyperlink" Target="http://en.wikipedia.org/wiki/Bank_note" TargetMode="External"/><Relationship Id="rId13" Type="http://schemas.openxmlformats.org/officeDocument/2006/relationships/hyperlink" Target="http://en.wikipedia.org/wiki/Mortgage_note" TargetMode="External"/><Relationship Id="rId14" Type="http://schemas.openxmlformats.org/officeDocument/2006/relationships/hyperlink" Target="http://en.wiktionary.org/wiki/principal" TargetMode="External"/><Relationship Id="rId15" Type="http://schemas.openxmlformats.org/officeDocument/2006/relationships/hyperlink" Target="http://en.wikipedia.org/wiki/Interest_rate" TargetMode="External"/><Relationship Id="rId16" Type="http://schemas.openxmlformats.org/officeDocument/2006/relationships/hyperlink" Target="http://en.wikipedia.org/wiki/Maturity_date" TargetMode="External"/><Relationship Id="rId17" Type="http://schemas.openxmlformats.org/officeDocument/2006/relationships/hyperlink" Target="http://en.wikipedia.org/wiki/Default_(finance)" TargetMode="External"/><Relationship Id="rId18" Type="http://schemas.openxmlformats.org/officeDocument/2006/relationships/hyperlink" Target="http://en.wikipedia.org/wiki/Promissory_note#cite_note-2" TargetMode="External"/><Relationship Id="rId19" Type="http://schemas.openxmlformats.org/officeDocument/2006/relationships/hyperlink" Target="http://en.wikipedia.org/wiki/Security_agreement" TargetMode="External"/><Relationship Id="rId20" Type="http://schemas.openxmlformats.org/officeDocument/2006/relationships/hyperlink" Target="http://en.wikipedia.org/wiki/Mortgage_law" TargetMode="External"/><Relationship Id="rId21" Type="http://schemas.openxmlformats.org/officeDocument/2006/relationships/hyperlink" Target="http://en.wikipedia.org/wiki/Promissory_note#cite_note-3" TargetMode="External"/><Relationship Id="rId22" Type="http://schemas.openxmlformats.org/officeDocument/2006/relationships/hyperlink" Target="http://en.wikipedia.org/wiki/United_States" TargetMode="External"/><Relationship Id="rId23" Type="http://schemas.openxmlformats.org/officeDocument/2006/relationships/hyperlink" Target="http://en.wikipedia.org/wiki/Uniform_Commercial_Code" TargetMode="External"/><Relationship Id="rId24" Type="http://schemas.openxmlformats.org/officeDocument/2006/relationships/hyperlink" Target="http://en.wikipedia.org/wiki/Real_estate" TargetMode="External"/><Relationship Id="rId25" Type="http://schemas.openxmlformats.org/officeDocument/2006/relationships/hyperlink" Target="http://en.wikipedia.org/wiki/Fannie_Mae" TargetMode="External"/><Relationship Id="rId26" Type="http://schemas.openxmlformats.org/officeDocument/2006/relationships/hyperlink" Target="http://en.wikipedia.org/wiki/Standard_form_contract" TargetMode="External"/><Relationship Id="rId27" Type="http://schemas.openxmlformats.org/officeDocument/2006/relationships/hyperlink" Target="http://en.wikipedia.org/wiki/Promissory_note#cite_note-4" TargetMode="External"/><Relationship Id="rId28" Type="http://schemas.openxmlformats.org/officeDocument/2006/relationships/hyperlink" Target="http://en.wikipedia.org/wiki/Commercial_paper" TargetMode="External"/><Relationship Id="rId29" Type="http://schemas.openxmlformats.org/officeDocument/2006/relationships/hyperlink" Target="http://en.wikipedia.org/wiki/Contract" TargetMode="External"/><Relationship Id="rId30" Type="http://schemas.openxmlformats.org/officeDocument/2006/relationships/hyperlink" Target="http://en.wikipedia.org/wiki/Promissory_note#cite_note-BILLS_OF_EXCHANGE_ACT_1882-5" TargetMode="External"/><Relationship Id="rId31" Type="http://schemas.openxmlformats.org/officeDocument/2006/relationships/hyperlink" Target="http://en.wikipedia.org/wiki/Currency" TargetMode="External"/><Relationship Id="rId32" Type="http://schemas.openxmlformats.org/officeDocument/2006/relationships/hyperlink" Target="http://en.wikipedia.org/wiki/Flying_cash" TargetMode="External"/><Relationship Id="rId33" Type="http://schemas.openxmlformats.org/officeDocument/2006/relationships/hyperlink" Target="http://en.wikipedia.org/wiki/Tang_dynasty" TargetMode="External"/><Relationship Id="rId34" Type="http://schemas.openxmlformats.org/officeDocument/2006/relationships/hyperlink" Target="http://en.wikipedia.org/wiki/Promissory_note#cite_note-Origins_of_value-6" TargetMode="External"/><Relationship Id="rId35" Type="http://schemas.openxmlformats.org/officeDocument/2006/relationships/hyperlink" Target="http://en.wikipedia.org/wiki/Milan" TargetMode="External"/><Relationship Id="rId36" Type="http://schemas.openxmlformats.org/officeDocument/2006/relationships/hyperlink" Target="http://en.wikipedia.org/wiki/Genova" TargetMode="External"/><Relationship Id="rId37" Type="http://schemas.openxmlformats.org/officeDocument/2006/relationships/hyperlink" Target="http://en.wikipedia.org/wiki/Barcelona" TargetMode="External"/><Relationship Id="rId38" Type="http://schemas.openxmlformats.org/officeDocument/2006/relationships/hyperlink" Target="http://en.wikipedia.org/w/index.php?title=Bernat_de_Codinachs&amp;action=edit&amp;redlink=1" TargetMode="External"/><Relationship Id="rId39" Type="http://schemas.openxmlformats.org/officeDocument/2006/relationships/hyperlink" Target="http://en.wikipedia.org/wiki/Huesca" TargetMode="External"/><Relationship Id="rId40" Type="http://schemas.openxmlformats.org/officeDocument/2006/relationships/hyperlink" Target="http://en.wikipedia.org/wiki/Crown_of_Aragon" TargetMode="External"/><Relationship Id="rId41" Type="http://schemas.openxmlformats.org/officeDocument/2006/relationships/hyperlink" Target="http://en.wikipedia.org/wiki/Promissory_note#cite_note-7" TargetMode="External"/><Relationship Id="rId42" Type="http://schemas.openxmlformats.org/officeDocument/2006/relationships/hyperlink" Target="http://en.wikipedia.org/wiki/Strozzi_family" TargetMode="External"/><Relationship Id="rId43" Type="http://schemas.openxmlformats.org/officeDocument/2006/relationships/hyperlink" Target="http://en.wikipedia.org/wiki/Medina_del_Campo" TargetMode="External"/><Relationship Id="rId44" Type="http://schemas.openxmlformats.org/officeDocument/2006/relationships/hyperlink" Target="http://en.wikipedia.org/wiki/Spain" TargetMode="External"/><Relationship Id="rId45" Type="http://schemas.openxmlformats.org/officeDocument/2006/relationships/hyperlink" Target="http://en.wikipedia.org/wiki/Besan%C3%A7on" TargetMode="External"/><Relationship Id="rId46" Type="http://schemas.openxmlformats.org/officeDocument/2006/relationships/hyperlink" Target="http://en.wikipedia.org/wiki/Promissory_note#cite_note-8" TargetMode="External"/><Relationship Id="rId47" Type="http://schemas.openxmlformats.org/officeDocument/2006/relationships/hyperlink" Target="http://en.wikipedia.org/wiki/IOU_(debt)" TargetMode="External"/><Relationship Id="rId48" Type="http://schemas.openxmlformats.org/officeDocument/2006/relationships/hyperlink" Target="http://en.wikipedia.org/wiki/Loan" TargetMode="External"/><Relationship Id="rId49" Type="http://schemas.openxmlformats.org/officeDocument/2006/relationships/hyperlink" Target="http://en.wikipedia.org/wiki/Loan_agreement" TargetMode="External"/><Relationship Id="rId50" Type="http://schemas.openxmlformats.org/officeDocument/2006/relationships/hyperlink" Target="http://en.wikipedia.org/wiki/Holder_in_due_course" TargetMode="External"/><Relationship Id="rId51" Type="http://schemas.openxmlformats.org/officeDocument/2006/relationships/hyperlink" Target="http://en.wikipedia.org/wiki/Promissory_note#cite_note-9" TargetMode="External"/><Relationship Id="rId52" Type="http://schemas.openxmlformats.org/officeDocument/2006/relationships/hyperlink" Target="http://wsulawreview.org/DWhaley.pdf" TargetMode="External"/><Relationship Id="rId53" Type="http://schemas.openxmlformats.org/officeDocument/2006/relationships/hyperlink" Target="https://litigation-essentials.lexisnexis.com/webcd/app?action=DocumentDisplay&amp;crawlid=1&amp;doctype=cite&amp;docid=39%2BW.%2BSt.%2BU.%2BL.%2BRev.%2B313&amp;srctype=smi&amp;srcid=3B15&amp;key=b4ff3146a501f1f969b427ea9ebfba75" TargetMode="External"/><Relationship Id="rId54" Type="http://schemas.openxmlformats.org/officeDocument/2006/relationships/hyperlink" Target="http://www.expertlaw.com/library/business/promissory_note.html" TargetMode="External"/><Relationship Id="rId55" Type="http://schemas.openxmlformats.org/officeDocument/2006/relationships/hyperlink" Target="http://www.jus.uio.no/english/services/library/treaties/09/9-03/bills-exchange-notes.xml" TargetMode="External"/><Relationship Id="rId56" Type="http://schemas.openxmlformats.org/officeDocument/2006/relationships/hyperlink" Target="https://www.fanniemae.com/singlefamily/notes" TargetMode="External"/><Relationship Id="rId57" Type="http://schemas.openxmlformats.org/officeDocument/2006/relationships/hyperlink" Target="http://www.legislation.gov.uk/ukpga/Vict/45-46/61/contents" TargetMode="External"/><Relationship Id="rId58" Type="http://schemas.openxmlformats.org/officeDocument/2006/relationships/hyperlink" Target="http://en.wikipedia.org/wiki/International_Standard_Book_Number" TargetMode="External"/><Relationship Id="rId59" Type="http://schemas.openxmlformats.org/officeDocument/2006/relationships/hyperlink" Target="http://en.wikipedia.org/w/index.php?title=Manuel_Sanchis_Guarner&amp;action=edit&amp;redlink=1" TargetMode="External"/><Relationship Id="rId60" Type="http://schemas.openxmlformats.org/officeDocument/2006/relationships/hyperlink" Target="http://en.wikipedia.org/wiki/Catalan_language" TargetMode="External"/><Relationship Id="rId61" Type="http://schemas.openxmlformats.org/officeDocument/2006/relationships/hyperlink" Target="http://www.delsolmedina.com/La%20primera%20letra%20de%20cambio.htm" TargetMode="External"/><Relationship Id="rId62" Type="http://schemas.openxmlformats.org/officeDocument/2006/relationships/hyperlink" Target="http://us.practicallaw.com/6-508-0668" TargetMode="External"/><Relationship Id="rId63" Type="http://schemas.openxmlformats.org/officeDocument/2006/relationships/hyperlink" Target="http://en.wikipedia.org/wiki/Promissory_note" TargetMode="External"/><Relationship Id="rId6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2024-02-19T10:41:59Z</dcterms:created>
  <dcterms:modified xsi:type="dcterms:W3CDTF">2024-02-19T10:41:59Z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2024-02-19T00:00:00Z</vt:filetime>
  </property>
</Properties>
</file>