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675" w:val="left" w:leader="none"/>
        </w:tabs>
        <w:spacing w:before="90"/>
        <w:ind w:left="120" w:right="0" w:firstLine="0"/>
        <w:jc w:val="left"/>
        <w:rPr>
          <w:sz w:val="20"/>
        </w:rPr>
      </w:pPr>
      <w:r>
        <w:rPr>
          <w:sz w:val="20"/>
        </w:rPr>
        <w:t>Goshen</w:t>
      </w:r>
      <w:r>
        <w:rPr>
          <w:spacing w:val="-4"/>
          <w:sz w:val="20"/>
        </w:rPr>
        <w:t> </w:t>
      </w:r>
      <w:r>
        <w:rPr>
          <w:sz w:val="20"/>
        </w:rPr>
        <w:t>Master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Update</w:t>
        <w:tab/>
        <w:t>January</w:t>
      </w:r>
      <w:r>
        <w:rPr>
          <w:spacing w:val="-2"/>
          <w:sz w:val="20"/>
        </w:rPr>
        <w:t> </w:t>
      </w:r>
      <w:r>
        <w:rPr>
          <w:sz w:val="20"/>
        </w:rPr>
        <w:t>31,</w:t>
      </w:r>
      <w:r>
        <w:rPr>
          <w:spacing w:val="-3"/>
          <w:sz w:val="20"/>
        </w:rPr>
        <w:t> </w:t>
      </w:r>
      <w:r>
        <w:rPr>
          <w:sz w:val="20"/>
        </w:rPr>
        <w:t>2011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>
          <w:spacing w:val="-1"/>
        </w:rPr>
        <w:t>SWOT</w:t>
      </w:r>
      <w:r>
        <w:rPr>
          <w:spacing w:val="-24"/>
        </w:rPr>
        <w:t> </w:t>
      </w:r>
      <w:r>
        <w:rPr>
          <w:spacing w:val="-1"/>
        </w:rPr>
        <w:t>Analysis</w:t>
      </w:r>
      <w:r>
        <w:rPr/>
        <w:t> </w:t>
      </w:r>
      <w:r>
        <w:rPr>
          <w:spacing w:val="-1"/>
        </w:rPr>
        <w:t>Report</w:t>
      </w:r>
    </w:p>
    <w:p>
      <w:pPr>
        <w:pStyle w:val="Heading1"/>
        <w:jc w:val="left"/>
      </w:pPr>
      <w:r>
        <w:rPr/>
        <w:t>Introduction</w:t>
      </w:r>
    </w:p>
    <w:p>
      <w:pPr>
        <w:pStyle w:val="BodyText"/>
        <w:spacing w:before="63"/>
        <w:ind w:left="120" w:right="118"/>
        <w:jc w:val="both"/>
      </w:pPr>
      <w:r>
        <w:rPr/>
        <w:t>A Strengths, Weaknesses, Opportunities, and Threats (SWOT) Analysis is a strategic planning</w:t>
      </w:r>
      <w:r>
        <w:rPr>
          <w:spacing w:val="1"/>
        </w:rPr>
        <w:t> </w:t>
      </w:r>
      <w:r>
        <w:rPr/>
        <w:t>tool to evaluate internal and external influences upon a common vision or specific goal.</w:t>
      </w:r>
      <w:r>
        <w:rPr>
          <w:spacing w:val="1"/>
        </w:rPr>
        <w:t> </w:t>
      </w:r>
      <w:r>
        <w:rPr/>
        <w:t>SWOT analyses are a common method for a company or organization to assess its capacity to</w:t>
      </w:r>
      <w:r>
        <w:rPr>
          <w:spacing w:val="-70"/>
        </w:rPr>
        <w:t> </w:t>
      </w:r>
      <w:r>
        <w:rPr/>
        <w:t>execute a plan or achieve an attainable goal.</w:t>
      </w:r>
      <w:r>
        <w:rPr>
          <w:spacing w:val="1"/>
        </w:rPr>
        <w:t> </w:t>
      </w:r>
      <w:r>
        <w:rPr/>
        <w:t>In the context of municipal planning the SWOT</w:t>
      </w:r>
      <w:r>
        <w:rPr>
          <w:spacing w:val="-70"/>
        </w:rPr>
        <w:t> </w:t>
      </w:r>
      <w:r>
        <w:rPr/>
        <w:t>analysis</w:t>
      </w:r>
      <w:r>
        <w:rPr>
          <w:spacing w:val="1"/>
        </w:rPr>
        <w:t> </w:t>
      </w:r>
      <w:r>
        <w:rPr/>
        <w:t>evaluates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(e.g.: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community services, external development pressures, internal attitudes toward commercial</w:t>
      </w:r>
      <w:r>
        <w:rPr>
          <w:spacing w:val="1"/>
        </w:rPr>
        <w:t> </w:t>
      </w:r>
      <w:r>
        <w:rPr/>
        <w:t>development, etc.) as they may pertain to the community values as reflected in the Vision</w:t>
      </w:r>
      <w:r>
        <w:rPr>
          <w:spacing w:val="1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Master</w:t>
      </w:r>
      <w:r>
        <w:rPr>
          <w:spacing w:val="1"/>
        </w:rPr>
        <w:t> </w:t>
      </w:r>
      <w:r>
        <w:rPr/>
        <w:t>Plan</w:t>
      </w:r>
      <w:r>
        <w:rPr>
          <w:spacing w:val="-2"/>
        </w:rPr>
        <w:t> </w:t>
      </w:r>
      <w:r>
        <w:rPr/>
        <w:t>Goals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summarized</w:t>
      </w:r>
      <w:r>
        <w:rPr>
          <w:spacing w:val="-1"/>
        </w:rPr>
        <w:t> </w:t>
      </w:r>
      <w:r>
        <w:rPr/>
        <w:t>below.</w:t>
      </w:r>
    </w:p>
    <w:p>
      <w:pPr>
        <w:pStyle w:val="Heading1"/>
        <w:spacing w:before="237"/>
      </w:pPr>
      <w:r>
        <w:rPr/>
        <w:t>General</w:t>
      </w:r>
      <w:r>
        <w:rPr>
          <w:spacing w:val="-3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Goshen’s</w:t>
      </w:r>
      <w:r>
        <w:rPr>
          <w:spacing w:val="-2"/>
        </w:rPr>
        <w:t> </w:t>
      </w:r>
      <w:r>
        <w:rPr/>
        <w:t>Vision</w:t>
      </w:r>
    </w:p>
    <w:p>
      <w:pPr>
        <w:pStyle w:val="BodyText"/>
        <w:spacing w:before="63"/>
        <w:ind w:left="120"/>
        <w:jc w:val="both"/>
      </w:pPr>
      <w:r>
        <w:rPr/>
        <w:t>In</w:t>
      </w:r>
      <w:r>
        <w:rPr>
          <w:spacing w:val="-3"/>
        </w:rPr>
        <w:t> </w:t>
      </w:r>
      <w:r>
        <w:rPr/>
        <w:t>2009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developed 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Vision</w:t>
      </w:r>
      <w:r>
        <w:rPr>
          <w:spacing w:val="-2"/>
        </w:rPr>
        <w:t> </w:t>
      </w:r>
      <w:r>
        <w:rPr/>
        <w:t>Statement:</w:t>
      </w:r>
    </w:p>
    <w:p>
      <w:pPr>
        <w:spacing w:before="240"/>
        <w:ind w:left="120" w:right="117" w:firstLine="0"/>
        <w:jc w:val="both"/>
        <w:rPr>
          <w:i/>
          <w:sz w:val="24"/>
        </w:rPr>
      </w:pPr>
      <w:r>
        <w:rPr>
          <w:i/>
          <w:sz w:val="24"/>
        </w:rPr>
        <w:t>“Over the next ten years, Goshen will remain a small, rural residential community, with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quiet,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uncrowded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living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conditions,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healthy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environment,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vibrant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small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town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atmosphere.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Managed growth will result in buildings, roads, and public facilities that 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well-maintained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scenic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beauty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undiminished.”</w:t>
      </w:r>
    </w:p>
    <w:p>
      <w:pPr>
        <w:pStyle w:val="BodyText"/>
        <w:spacing w:before="240"/>
        <w:ind w:left="120"/>
        <w:jc w:val="both"/>
      </w:pPr>
      <w:r>
        <w:rPr/>
        <w:t>Additionally,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Board</w:t>
      </w:r>
      <w:r>
        <w:rPr>
          <w:spacing w:val="-5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Master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/>
        <w:t>Goals: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39" w:after="0"/>
        <w:ind w:left="840" w:right="122" w:hanging="720"/>
        <w:jc w:val="both"/>
        <w:rPr>
          <w:sz w:val="24"/>
        </w:rPr>
      </w:pPr>
      <w:r>
        <w:rPr>
          <w:sz w:val="24"/>
        </w:rPr>
        <w:t>To preserve and enhance the small town character of Goshen and the open, rural</w:t>
      </w:r>
      <w:r>
        <w:rPr>
          <w:spacing w:val="1"/>
          <w:sz w:val="24"/>
        </w:rPr>
        <w:t> </w:t>
      </w:r>
      <w:r>
        <w:rPr>
          <w:sz w:val="24"/>
        </w:rPr>
        <w:t>character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land.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1" w:after="0"/>
        <w:ind w:left="840" w:right="117" w:hanging="720"/>
        <w:jc w:val="both"/>
        <w:rPr>
          <w:sz w:val="24"/>
        </w:rPr>
      </w:pPr>
      <w:r>
        <w:rPr>
          <w:sz w:val="24"/>
        </w:rPr>
        <w:t>To provide efficient and effective town services and recreational opportunities, at a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consistent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0" w:after="0"/>
        <w:ind w:left="840" w:right="117" w:hanging="720"/>
        <w:jc w:val="both"/>
        <w:rPr>
          <w:sz w:val="24"/>
        </w:rPr>
      </w:pPr>
      <w:r>
        <w:rPr>
          <w:sz w:val="24"/>
        </w:rPr>
        <w:t>To preserve and promote the appropriate use of existing historic properties and areas,</w:t>
      </w:r>
      <w:r>
        <w:rPr>
          <w:spacing w:val="-70"/>
          <w:sz w:val="24"/>
        </w:rPr>
        <w:t> </w:t>
      </w:r>
      <w:r>
        <w:rPr>
          <w:sz w:val="24"/>
        </w:rPr>
        <w:t>such as the town center, historic houses, town cemeteries, and the Pierce Lead Mine;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citizens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understand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appreciate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early</w:t>
      </w:r>
      <w:r>
        <w:rPr>
          <w:spacing w:val="1"/>
          <w:sz w:val="24"/>
        </w:rPr>
        <w:t> </w:t>
      </w:r>
      <w:r>
        <w:rPr>
          <w:sz w:val="24"/>
        </w:rPr>
        <w:t>history</w:t>
      </w:r>
      <w:r>
        <w:rPr>
          <w:spacing w:val="7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 Goshen.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0" w:after="0"/>
        <w:ind w:left="840" w:right="119" w:hanging="720"/>
        <w:jc w:val="both"/>
        <w:rPr>
          <w:sz w:val="24"/>
        </w:rPr>
      </w:pPr>
      <w:r>
        <w:rPr>
          <w:sz w:val="24"/>
        </w:rPr>
        <w:t>To adopt land use planning practices that preserve steep slopes, important soils, and</w:t>
      </w:r>
      <w:r>
        <w:rPr>
          <w:spacing w:val="1"/>
          <w:sz w:val="24"/>
        </w:rPr>
        <w:t> </w:t>
      </w:r>
      <w:r>
        <w:rPr>
          <w:sz w:val="24"/>
        </w:rPr>
        <w:t>other natural and built features to ensure that growth occurs in an orderly manner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rural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scenic</w:t>
      </w:r>
      <w:r>
        <w:rPr>
          <w:spacing w:val="-2"/>
          <w:sz w:val="24"/>
        </w:rPr>
        <w:t> </w:t>
      </w:r>
      <w:r>
        <w:rPr>
          <w:sz w:val="24"/>
        </w:rPr>
        <w:t>character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0" w:after="0"/>
        <w:ind w:left="840" w:right="119" w:hanging="720"/>
        <w:jc w:val="both"/>
        <w:rPr>
          <w:sz w:val="24"/>
        </w:rPr>
      </w:pPr>
      <w:r>
        <w:rPr>
          <w:sz w:val="24"/>
        </w:rPr>
        <w:t>To preserve and foster Goshen’s natural, scenic, and recreational resources, including</w:t>
      </w:r>
      <w:r>
        <w:rPr>
          <w:spacing w:val="-70"/>
          <w:sz w:val="24"/>
        </w:rPr>
        <w:t> </w:t>
      </w:r>
      <w:r>
        <w:rPr>
          <w:sz w:val="24"/>
        </w:rPr>
        <w:t>surface waters, aquifers, wetlands, parks, agricultural land, open unfragmented land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public access.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0" w:after="0"/>
        <w:ind w:left="840" w:right="119" w:hanging="720"/>
        <w:jc w:val="both"/>
        <w:rPr>
          <w:sz w:val="24"/>
        </w:rPr>
      </w:pPr>
      <w:r>
        <w:rPr>
          <w:sz w:val="24"/>
        </w:rPr>
        <w:t>Provide for a vibrant community by allowing a diversity of housing within the village</w:t>
      </w:r>
      <w:r>
        <w:rPr>
          <w:spacing w:val="1"/>
          <w:sz w:val="24"/>
        </w:rPr>
        <w:t> </w:t>
      </w:r>
      <w:r>
        <w:rPr>
          <w:sz w:val="24"/>
        </w:rPr>
        <w:t>area integrated with appropriate nonresidential development that includes eating</w:t>
      </w:r>
      <w:r>
        <w:rPr>
          <w:spacing w:val="1"/>
          <w:sz w:val="24"/>
        </w:rPr>
        <w:t> </w:t>
      </w:r>
      <w:r>
        <w:rPr>
          <w:sz w:val="24"/>
        </w:rPr>
        <w:t>establishments,</w:t>
      </w:r>
      <w:r>
        <w:rPr>
          <w:spacing w:val="-3"/>
          <w:sz w:val="24"/>
        </w:rPr>
        <w:t> </w:t>
      </w:r>
      <w:r>
        <w:rPr>
          <w:sz w:val="24"/>
        </w:rPr>
        <w:t>offices,</w:t>
      </w:r>
      <w:r>
        <w:rPr>
          <w:spacing w:val="-3"/>
          <w:sz w:val="24"/>
        </w:rPr>
        <w:t> </w:t>
      </w:r>
      <w:r>
        <w:rPr>
          <w:sz w:val="24"/>
        </w:rPr>
        <w:t>home-based</w:t>
      </w:r>
      <w:r>
        <w:rPr>
          <w:spacing w:val="-3"/>
          <w:sz w:val="24"/>
        </w:rPr>
        <w:t> </w:t>
      </w:r>
      <w:r>
        <w:rPr>
          <w:sz w:val="24"/>
        </w:rPr>
        <w:t>businesses,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arts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crafts</w:t>
      </w:r>
      <w:r>
        <w:rPr>
          <w:spacing w:val="-3"/>
          <w:sz w:val="24"/>
        </w:rPr>
        <w:t> </w:t>
      </w:r>
      <w:r>
        <w:rPr>
          <w:sz w:val="24"/>
        </w:rPr>
        <w:t>studios.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0" w:after="0"/>
        <w:ind w:left="840" w:right="125" w:hanging="720"/>
        <w:jc w:val="both"/>
        <w:rPr>
          <w:sz w:val="24"/>
        </w:rPr>
      </w:pPr>
      <w:r>
        <w:rPr>
          <w:sz w:val="24"/>
        </w:rPr>
        <w:t>Maintain a sustainable community through energy conservation, alternative energy</w:t>
      </w:r>
      <w:r>
        <w:rPr>
          <w:spacing w:val="1"/>
          <w:sz w:val="24"/>
        </w:rPr>
        <w:t> </w:t>
      </w:r>
      <w:r>
        <w:rPr>
          <w:sz w:val="24"/>
        </w:rPr>
        <w:t>efforts,</w:t>
      </w:r>
      <w:r>
        <w:rPr>
          <w:spacing w:val="-2"/>
          <w:sz w:val="24"/>
        </w:rPr>
        <w:t> </w:t>
      </w:r>
      <w:r>
        <w:rPr>
          <w:sz w:val="24"/>
        </w:rPr>
        <w:t>recycling,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hazardous</w:t>
      </w:r>
      <w:r>
        <w:rPr>
          <w:spacing w:val="-2"/>
          <w:sz w:val="24"/>
        </w:rPr>
        <w:t> </w:t>
      </w:r>
      <w:r>
        <w:rPr>
          <w:sz w:val="24"/>
        </w:rPr>
        <w:t>waste.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100"/>
        <w:ind w:left="0" w:right="118" w:firstLine="0"/>
        <w:jc w:val="right"/>
        <w:rPr>
          <w:sz w:val="20"/>
        </w:rPr>
      </w:pPr>
      <w:r>
        <w:rPr>
          <w:sz w:val="20"/>
        </w:rPr>
        <w:t>Page</w:t>
      </w:r>
      <w:r>
        <w:rPr>
          <w:spacing w:val="-3"/>
          <w:sz w:val="20"/>
        </w:rPr>
        <w:t> </w:t>
      </w:r>
      <w:r>
        <w:rPr>
          <w:sz w:val="20"/>
        </w:rPr>
        <w:t>1</w:t>
      </w:r>
    </w:p>
    <w:p>
      <w:pPr>
        <w:spacing w:after="0"/>
        <w:jc w:val="right"/>
        <w:rPr>
          <w:sz w:val="20"/>
        </w:rPr>
        <w:sectPr>
          <w:type w:val="continuous"/>
          <w:pgSz w:w="12240" w:h="15840"/>
          <w:pgMar w:top="620" w:bottom="0" w:left="960" w:right="960"/>
        </w:sectPr>
      </w:pPr>
    </w:p>
    <w:p>
      <w:pPr>
        <w:spacing w:before="90"/>
        <w:ind w:left="120" w:right="8206" w:firstLine="0"/>
        <w:jc w:val="left"/>
        <w:rPr>
          <w:sz w:val="20"/>
        </w:rPr>
      </w:pPr>
      <w:r>
        <w:rPr>
          <w:sz w:val="20"/>
        </w:rPr>
        <w:t>Goshen Master Plan</w:t>
      </w:r>
      <w:r>
        <w:rPr>
          <w:spacing w:val="1"/>
          <w:sz w:val="20"/>
        </w:rPr>
        <w:t> </w:t>
      </w:r>
      <w:r>
        <w:rPr>
          <w:sz w:val="20"/>
        </w:rPr>
        <w:t>Transportation</w:t>
      </w:r>
      <w:r>
        <w:rPr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-57"/>
          <w:sz w:val="20"/>
        </w:rPr>
        <w:t> </w:t>
      </w:r>
      <w:r>
        <w:rPr>
          <w:sz w:val="20"/>
        </w:rPr>
        <w:t>January</w:t>
      </w:r>
      <w:r>
        <w:rPr>
          <w:spacing w:val="-2"/>
          <w:sz w:val="20"/>
        </w:rPr>
        <w:t> </w:t>
      </w:r>
      <w:r>
        <w:rPr>
          <w:sz w:val="20"/>
        </w:rPr>
        <w:t>31,</w:t>
      </w:r>
      <w:r>
        <w:rPr>
          <w:spacing w:val="-2"/>
          <w:sz w:val="20"/>
        </w:rPr>
        <w:t> </w:t>
      </w:r>
      <w:r>
        <w:rPr>
          <w:sz w:val="20"/>
        </w:rPr>
        <w:t>2011</w:t>
      </w:r>
    </w:p>
    <w:p>
      <w:pPr>
        <w:pStyle w:val="BodyText"/>
        <w:rPr>
          <w:sz w:val="20"/>
        </w:rPr>
      </w:pPr>
    </w:p>
    <w:p>
      <w:pPr>
        <w:pStyle w:val="Heading1"/>
        <w:spacing w:before="228"/>
      </w:pPr>
      <w:r>
        <w:rPr/>
        <w:t>SWOT</w:t>
      </w:r>
      <w:r>
        <w:rPr>
          <w:spacing w:val="-3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Chart</w:t>
      </w:r>
    </w:p>
    <w:p>
      <w:pPr>
        <w:pStyle w:val="BodyText"/>
        <w:spacing w:before="123"/>
        <w:ind w:left="119" w:right="118"/>
        <w:jc w:val="both"/>
      </w:pPr>
      <w:r>
        <w:rPr/>
        <w:t>The SWOT Analysis is a quick summary of internal and external influences on the community</w:t>
      </w:r>
      <w:r>
        <w:rPr>
          <w:spacing w:val="1"/>
        </w:rPr>
        <w:t> </w:t>
      </w:r>
      <w:r>
        <w:rPr/>
        <w:t>vision in a four-quadrant table.</w:t>
      </w:r>
      <w:r>
        <w:rPr>
          <w:spacing w:val="1"/>
        </w:rPr>
        <w:t> </w:t>
      </w:r>
      <w:r>
        <w:rPr/>
        <w:t>The following summary table of the SWOT analysis should be</w:t>
      </w:r>
      <w:r>
        <w:rPr>
          <w:spacing w:val="-70"/>
        </w:rPr>
        <w:t> </w:t>
      </w:r>
      <w:r>
        <w:rPr/>
        <w:t>used as guidance to recognize how the identified influences can affect the pending planning</w:t>
      </w:r>
      <w:r>
        <w:rPr>
          <w:spacing w:val="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near</w:t>
      </w:r>
      <w:r>
        <w:rPr>
          <w:spacing w:val="-1"/>
        </w:rPr>
        <w:t> </w:t>
      </w:r>
      <w:r>
        <w:rPr/>
        <w:t>future.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7"/>
        </w:rPr>
      </w:pPr>
    </w:p>
    <w:p>
      <w:pPr>
        <w:tabs>
          <w:tab w:pos="6900" w:val="left" w:leader="none"/>
        </w:tabs>
        <w:spacing w:before="0"/>
        <w:ind w:left="2467" w:right="0" w:firstLine="0"/>
        <w:jc w:val="left"/>
        <w:rPr>
          <w:i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2.5pt;margin-top:19.328545pt;width:446pt;height:500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2"/>
                    <w:gridCol w:w="4453"/>
                  </w:tblGrid>
                  <w:tr>
                    <w:trPr>
                      <w:trHeight w:val="5794" w:hRule="atLeast"/>
                    </w:trPr>
                    <w:tc>
                      <w:tcPr>
                        <w:tcW w:w="445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698" w:firstLine="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Strengths: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1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Small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town,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quiet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rural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lifestyle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Outdoor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recreation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157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Support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town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services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(fire,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police,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highway, school)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Rural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character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Natural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resources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596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Undeveloped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slopes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ridgelines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(scenic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value)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Good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 participation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609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Limited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infrastructure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maintain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(e.g.: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low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road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miles)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Low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cost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housing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relative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Local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investment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conservation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Strong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identity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Support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home-based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businesses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687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Strong interest in residential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development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along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existing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roads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199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Village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center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important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community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asset</w:t>
                        </w:r>
                      </w:p>
                    </w:tc>
                    <w:tc>
                      <w:tcPr>
                        <w:tcW w:w="445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477" w:firstLine="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Opportunities: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1" w:after="0"/>
                          <w:ind w:left="444" w:right="565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Trails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could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integrated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one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town-wide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system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543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Community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support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diversity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housing options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Village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Mount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Sunapee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Park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17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Center and Lempster Coach Roads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offer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scenic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byway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designation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options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Broadband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mapping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program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266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Potential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access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small-scale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hydro-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power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generation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366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Cluster residential development to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preserve open space, ridgelines, and</w:t>
                        </w:r>
                        <w:r>
                          <w:rPr>
                            <w:spacing w:val="-6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wildlife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habitat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715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Minimal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development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pressure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present (opportunity to plan for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future)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Support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outdoor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recreation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Business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development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areas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998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Goshen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Grange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Hall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serve</w:t>
                        </w:r>
                        <w:r>
                          <w:rPr>
                            <w:spacing w:val="-6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facility needs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60" w:lineRule="exact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Strong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regional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employment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trends</w:t>
                        </w:r>
                      </w:p>
                    </w:tc>
                  </w:tr>
                  <w:tr>
                    <w:trPr>
                      <w:trHeight w:val="4190" w:hRule="atLeast"/>
                    </w:trPr>
                    <w:tc>
                      <w:tcPr>
                        <w:tcW w:w="4452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573" w:firstLine="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Weaknesses: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78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Recreation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trails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marked,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spacing w:val="-6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consistent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trail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network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44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Capital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Improvement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Program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plan and budget for major capital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expenditures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sidewalks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Village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water/sewer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infrastructure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5" w:val="left" w:leader="none"/>
                          </w:tabs>
                          <w:spacing w:line="240" w:lineRule="auto" w:before="0" w:after="0"/>
                          <w:ind w:left="444" w:right="343" w:hanging="338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Limited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suitable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land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commercial</w:t>
                        </w:r>
                        <w:r>
                          <w:rPr>
                            <w:spacing w:val="-6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development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5" w:val="left" w:leader="none"/>
                          </w:tabs>
                          <w:spacing w:line="240" w:lineRule="auto" w:before="0" w:after="0"/>
                          <w:ind w:left="444" w:right="457" w:hanging="338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Degrading Fire Station and Highway</w:t>
                        </w:r>
                        <w:r>
                          <w:rPr>
                            <w:spacing w:val="-6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Garage facilities require substantial</w:t>
                        </w:r>
                        <w:r>
                          <w:rPr>
                            <w:spacing w:val="-6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renovations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45" w:val="left" w:leader="none"/>
                          </w:tabs>
                          <w:spacing w:line="240" w:lineRule="auto" w:before="0" w:after="0"/>
                          <w:ind w:left="444" w:right="338" w:hanging="338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Town hall storage and office space is</w:t>
                        </w:r>
                        <w:r>
                          <w:rPr>
                            <w:spacing w:val="-6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insufficient,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unsafe, 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</w:p>
                      <w:p>
                        <w:pPr>
                          <w:pStyle w:val="TableParagraph"/>
                          <w:spacing w:line="245" w:lineRule="exact"/>
                          <w:ind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allow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handicap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access</w:t>
                        </w:r>
                      </w:p>
                    </w:tc>
                    <w:tc>
                      <w:tcPr>
                        <w:tcW w:w="4453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793" w:firstLine="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Threats: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Limited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transportation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options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476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Increased population will increase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demand on services and community</w:t>
                        </w:r>
                        <w:r>
                          <w:rPr>
                            <w:spacing w:val="-6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facilities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Limited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broadband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access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Large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commercial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developments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5" w:right="0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Large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residential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developments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1069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Global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competition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local</w:t>
                        </w:r>
                        <w:r>
                          <w:rPr>
                            <w:spacing w:val="-6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agriculture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44" w:val="left" w:leader="none"/>
                            <w:tab w:pos="445" w:val="left" w:leader="none"/>
                          </w:tabs>
                          <w:spacing w:line="240" w:lineRule="auto" w:before="0" w:after="0"/>
                          <w:ind w:left="444" w:right="382" w:hanging="3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Erosion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along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Sugar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River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may affect</w:t>
                        </w:r>
                        <w:r>
                          <w:rPr>
                            <w:spacing w:val="-6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Fire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Department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property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2"/>
        </w:rPr>
        <w:t>INTERNAL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INFLUENCE</w:t>
        <w:tab/>
        <w:t>EXTERNAL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INFLUENCE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spacing w:before="0"/>
        <w:ind w:left="281" w:right="9212" w:hanging="64"/>
        <w:jc w:val="left"/>
        <w:rPr>
          <w:i/>
          <w:sz w:val="22"/>
        </w:rPr>
      </w:pPr>
      <w:r>
        <w:rPr>
          <w:i/>
          <w:sz w:val="22"/>
        </w:rPr>
        <w:t>POSITIVE</w:t>
      </w:r>
      <w:r>
        <w:rPr>
          <w:i/>
          <w:spacing w:val="-64"/>
          <w:sz w:val="22"/>
        </w:rPr>
        <w:t> </w:t>
      </w:r>
      <w:r>
        <w:rPr>
          <w:i/>
          <w:sz w:val="22"/>
        </w:rPr>
        <w:t>IMPACT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spacing w:before="0"/>
        <w:ind w:left="281" w:right="9159" w:hanging="118"/>
        <w:jc w:val="left"/>
        <w:rPr>
          <w:i/>
          <w:sz w:val="22"/>
        </w:rPr>
      </w:pPr>
      <w:r>
        <w:rPr>
          <w:i/>
          <w:sz w:val="22"/>
        </w:rPr>
        <w:t>NEGATIVE</w:t>
      </w:r>
      <w:r>
        <w:rPr>
          <w:i/>
          <w:spacing w:val="-64"/>
          <w:sz w:val="22"/>
        </w:rPr>
        <w:t> </w:t>
      </w:r>
      <w:r>
        <w:rPr>
          <w:i/>
          <w:sz w:val="22"/>
        </w:rPr>
        <w:t>IMPACT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1"/>
        <w:ind w:left="0" w:right="118" w:firstLine="0"/>
        <w:jc w:val="right"/>
        <w:rPr>
          <w:sz w:val="20"/>
        </w:rPr>
      </w:pPr>
      <w:r>
        <w:rPr>
          <w:sz w:val="20"/>
        </w:rPr>
        <w:t>Page</w:t>
      </w:r>
      <w:r>
        <w:rPr>
          <w:spacing w:val="-3"/>
          <w:sz w:val="20"/>
        </w:rPr>
        <w:t> </w:t>
      </w:r>
      <w:r>
        <w:rPr>
          <w:sz w:val="20"/>
        </w:rPr>
        <w:t>2</w:t>
      </w:r>
    </w:p>
    <w:p>
      <w:pPr>
        <w:spacing w:after="0"/>
        <w:jc w:val="right"/>
        <w:rPr>
          <w:sz w:val="20"/>
        </w:rPr>
        <w:sectPr>
          <w:pgSz w:w="12240" w:h="15840"/>
          <w:pgMar w:top="620" w:bottom="280" w:left="960" w:right="960"/>
        </w:sectPr>
      </w:pPr>
    </w:p>
    <w:p>
      <w:pPr>
        <w:spacing w:before="72"/>
        <w:ind w:left="4878" w:right="4586" w:firstLine="0"/>
        <w:jc w:val="center"/>
        <w:rPr>
          <w:rFonts w:ascii="Verdana"/>
          <w:sz w:val="22"/>
        </w:rPr>
      </w:pPr>
      <w:r>
        <w:rPr/>
        <w:pict>
          <v:group style="position:absolute;margin-left:35.999519pt;margin-top:35.999519pt;width:720.15pt;height:540.15pt;mso-position-horizontal-relative:page;mso-position-vertical-relative:page;z-index:-15846400" coordorigin="720,720" coordsize="14403,10803">
            <v:rect style="position:absolute;left:720;top:720;width:14403;height:10803" filled="true" fillcolor="#e1f0ff" stroked="false">
              <v:fill type="solid"/>
            </v:rect>
            <v:shape style="position:absolute;left:4459;top:1264;width:7119;height:4959" type="#_x0000_t75" stroked="false">
              <v:imagedata r:id="rId5" o:title=""/>
            </v:shape>
            <v:shape style="position:absolute;left:4262;top:6547;width:7116;height:4959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33.67865pt;margin-top:389.76062pt;width:11.35pt;height:36.3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Verdana"/>
                      <w:sz w:val="15"/>
                    </w:rPr>
                  </w:pPr>
                  <w:r>
                    <w:rPr>
                      <w:rFonts w:ascii="Verdana"/>
                      <w:w w:val="120"/>
                      <w:sz w:val="15"/>
                    </w:rPr>
                    <w:t>Positive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158661pt;margin-top:491.043579pt;width:11.35pt;height:40.2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Verdana"/>
                      <w:sz w:val="15"/>
                    </w:rPr>
                  </w:pPr>
                  <w:r>
                    <w:rPr>
                      <w:rFonts w:ascii="Verdana"/>
                      <w:w w:val="115"/>
                      <w:sz w:val="15"/>
                    </w:rPr>
                    <w:t>Negative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98651pt;margin-top:225.484451pt;width:11.35pt;height:40.2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Verdana"/>
                      <w:sz w:val="15"/>
                    </w:rPr>
                  </w:pPr>
                  <w:r>
                    <w:rPr>
                      <w:rFonts w:ascii="Verdana"/>
                      <w:w w:val="115"/>
                      <w:sz w:val="15"/>
                    </w:rPr>
                    <w:t>Negative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278656pt;margin-top:91.940338pt;width:11.35pt;height:36.3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Verdana"/>
                      <w:sz w:val="15"/>
                    </w:rPr>
                  </w:pPr>
                  <w:r>
                    <w:rPr>
                      <w:rFonts w:ascii="Verdana"/>
                      <w:w w:val="120"/>
                      <w:sz w:val="15"/>
                    </w:rPr>
                    <w:t>Positive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w w:val="110"/>
          <w:sz w:val="22"/>
        </w:rPr>
        <w:t>SWOT</w:t>
      </w:r>
      <w:r>
        <w:rPr>
          <w:rFonts w:ascii="Verdana"/>
          <w:spacing w:val="-7"/>
          <w:w w:val="110"/>
          <w:sz w:val="22"/>
        </w:rPr>
        <w:t> </w:t>
      </w:r>
      <w:r>
        <w:rPr>
          <w:rFonts w:ascii="Verdana"/>
          <w:w w:val="110"/>
          <w:sz w:val="22"/>
        </w:rPr>
        <w:t>Analysis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13"/>
        </w:rPr>
      </w:pPr>
      <w:r>
        <w:rPr/>
        <w:pict>
          <v:group style="position:absolute;margin-left:316.079865pt;margin-top:9.996248pt;width:193.35pt;height:12.35pt;mso-position-horizontal-relative:page;mso-position-vertical-relative:paragraph;z-index:-15728128;mso-wrap-distance-left:0;mso-wrap-distance-right:0" coordorigin="6322,200" coordsize="3867,247">
            <v:shape style="position:absolute;left:6321;top:199;width:726;height:18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w w:val="120"/>
                        <w:sz w:val="15"/>
                      </w:rPr>
                      <w:t>Internal</w:t>
                    </w:r>
                  </w:p>
                </w:txbxContent>
              </v:textbox>
              <w10:wrap type="none"/>
            </v:shape>
            <v:shape style="position:absolute;left:9448;top:259;width:740;height:18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w w:val="115"/>
                        <w:sz w:val="15"/>
                      </w:rPr>
                      <w:t>External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"/>
        <w:rPr>
          <w:rFonts w:ascii="Verdana"/>
          <w:sz w:val="29"/>
        </w:rPr>
      </w:pPr>
      <w:r>
        <w:rPr/>
        <w:pict>
          <v:group style="position:absolute;margin-left:294.479889pt;margin-top:19.622314pt;width:198.3pt;height:9.35pt;mso-position-horizontal-relative:page;mso-position-vertical-relative:paragraph;z-index:-15727616;mso-wrap-distance-left:0;mso-wrap-distance-right:0" coordorigin="5890,392" coordsize="3966,187">
            <v:shape style="position:absolute;left:5889;top:392;width:726;height:18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w w:val="120"/>
                        <w:sz w:val="15"/>
                      </w:rPr>
                      <w:t>Internal</w:t>
                    </w:r>
                  </w:p>
                </w:txbxContent>
              </v:textbox>
              <w10:wrap type="none"/>
            </v:shape>
            <v:shape style="position:absolute;left:9115;top:392;width:740;height:18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w w:val="115"/>
                        <w:sz w:val="15"/>
                      </w:rPr>
                      <w:t>External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5840" w:h="12240" w:orient="landscape"/>
      <w:pgMar w:top="70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445" w:hanging="338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1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1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2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2" w:hanging="33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45" w:hanging="338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0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1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1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1" w:hanging="33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45" w:hanging="338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1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1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2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2" w:hanging="33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45" w:hanging="338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0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1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1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1" w:hanging="3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5"/>
      <w:ind w:left="120"/>
      <w:jc w:val="both"/>
      <w:outlineLvl w:val="1"/>
    </w:pPr>
    <w:rPr>
      <w:rFonts w:ascii="Trebuchet MS" w:hAnsi="Trebuchet MS" w:eastAsia="Trebuchet MS" w:cs="Trebuchet MS"/>
      <w:b/>
      <w:bCs/>
      <w:i/>
      <w:i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0"/>
      <w:ind w:left="120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40" w:right="119" w:hanging="720"/>
      <w:jc w:val="both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4" w:hanging="33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mmccrory</dc:creator>
  <dc:title>Microsoft Word - swotGOSH013111_final</dc:title>
  <dcterms:created xsi:type="dcterms:W3CDTF">2024-02-23T09:58:53Z</dcterms:created>
  <dcterms:modified xsi:type="dcterms:W3CDTF">2024-02-23T09:58:53Z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2024-02-23T00:00:00Z</vt:filetime>
  </property>
</Properties>
</file>